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 plus the internal count of noise points used by the default DBSCAN configuration.</w:t>
      </w:r>
    </w:p>
    <w:p>
      <w:pPr>
        <w:pStyle w:val="SourceCode"/>
      </w:pPr>
      <w:r>
        <w:rPr>
          <w:rStyle w:val="CommentTok"/>
        </w:rPr>
        <w:t xml:space="preserve"># evaluate model using internal and external metrics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metric      value     goal     type</w:t>
      </w:r>
      <w:r>
        <w:br/>
      </w:r>
      <w:r>
        <w:rPr>
          <w:rStyle w:val="VerbatimChar"/>
        </w:rPr>
        <w:t xml:space="preserve">## 1 noise_points 26.0000000 minimize internal</w:t>
      </w:r>
      <w:r>
        <w:br/>
      </w:r>
      <w:r>
        <w:rPr>
          <w:rStyle w:val="VerbatimChar"/>
        </w:rPr>
        <w:t xml:space="preserve">## 2      entropy  0.3037218 minimize external</w:t>
      </w:r>
      <w:r>
        <w:br/>
      </w:r>
      <w:r>
        <w:rPr>
          <w:rStyle w:val="VerbatimChar"/>
        </w:rPr>
        <w:t xml:space="preserve">## 3       purity  0.9266667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2026-05-13T01:38:51Z</dcterms:created>
  <dcterms:modified xsi:type="dcterms:W3CDTF">2026-05-13T01:38:51Z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