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are reorganized to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example collections for readers who want to inspect a specific family of methods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package structure, the thematic collections remain available and were reorganized with more didactic descriptions.</w:t>
      </w:r>
    </w:p>
    <w:bookmarkStart w:id="10" w:name="guided-tutorial-track"/>
    <w:p>
      <w:pPr>
        <w:pStyle w:val="Heading3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13-part learning sequence covering first experiment, sampling, data quality, preprocessing, baselines, metrics, model comparison, tuning, end-to-end pipelines, regression, clustering, visual analysis, and custom extensions.</w:t>
      </w:r>
    </w:p>
    <w:bookmarkEnd w:id="10"/>
    <w:bookmarkStart w:id="17" w:name="thematic-example-collections"/>
    <w:p>
      <w:pPr>
        <w:pStyle w:val="Heading3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balancing, cleaning, scaling, encoding, smoothing, feature selection, dimensionality reduction, and curvature-based heuristics.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baseline models, core classifier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 for numeric prediction.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partitional, medoid-based, density-based methods, and clustering model selection.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integrate new transformations, classifiers, regressors, and clustering methods into the Experiment Line workflow.</w:t>
      </w:r>
    </w:p>
    <w:bookmarkEnd w:id="17"/>
    <w:bookmarkStart w:id="18" w:name="documentation-design"/>
    <w:p>
      <w:pPr>
        <w:pStyle w:val="Heading3"/>
      </w:pPr>
      <w:r>
        <w:t xml:space="preserve">Documentation design</w:t>
      </w:r>
    </w:p>
    <w:p>
      <w:pPr>
        <w:pStyle w:val="FirstParagraph"/>
      </w:pPr>
      <w:r>
        <w:t xml:space="preserve">The examples were revised to be more useful for learning:</w:t>
      </w:r>
    </w:p>
    <w:p>
      <w:pPr>
        <w:pStyle w:val="Compact"/>
        <w:numPr>
          <w:ilvl w:val="0"/>
          <w:numId w:val="1004"/>
        </w:numPr>
      </w:pPr>
      <w:r>
        <w:t xml:space="preserve">files inside each collection are now numbered in a suggested reading order</w:t>
      </w:r>
    </w:p>
    <w:p>
      <w:pPr>
        <w:pStyle w:val="Compact"/>
        <w:numPr>
          <w:ilvl w:val="0"/>
          <w:numId w:val="1004"/>
        </w:numPr>
      </w:pPr>
      <w:r>
        <w:t xml:space="preserve">category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files group examples by subject rather than only by class name</w:t>
      </w:r>
    </w:p>
    <w:p>
      <w:pPr>
        <w:pStyle w:val="Compact"/>
        <w:numPr>
          <w:ilvl w:val="0"/>
          <w:numId w:val="1004"/>
        </w:numPr>
      </w:pPr>
      <w:r>
        <w:t xml:space="preserve">many examples now include more explanation between code blocks, including interpretation hints and common mistakes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6" Target="https://github.com/cefet-rj-dal/daltoolbox/tree/main/examples/custom/" TargetMode="External" /><Relationship Type="http://schemas.openxmlformats.org/officeDocument/2006/relationships/hyperlink" Id="rId15" Target="https://github.com/cefet-rj-dal/daltoolbox/tree/main/examples/graphic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6" Target="https://github.com/cefet-rj-dal/daltoolbox/tree/main/examples/custom/" TargetMode="External" /><Relationship Type="http://schemas.openxmlformats.org/officeDocument/2006/relationships/hyperlink" Id="rId15" Target="https://github.com/cefet-rj-dal/daltoolbox/tree/main/examples/graphic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2026-05-13T01:39:19Z</dcterms:created>
  <dcterms:modified xsi:type="dcterms:W3CDTF">2026-05-13T01:39:19Z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