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48dcf2b29fda3ec06995faf61839571cd48a726"/>
    <w:p>
      <w:pPr>
        <w:pStyle w:val="Heading2"/>
      </w:pPr>
      <w:r>
        <w:t xml:space="preserve">Tutorial 12 - Visual Analysis and Reporting</w:t>
      </w:r>
    </w:p>
    <w:p>
      <w:pPr>
        <w:pStyle w:val="FirstParagraph"/>
      </w:pPr>
      <w:r>
        <w:t xml:space="preserve">A mining workflow should not end with a metric table. Visual inspection helps the analyst understand the data, spot separation or overlap among groups, and communicate the result in a clearer way.</w:t>
      </w:r>
    </w:p>
    <w:p>
      <w:pPr>
        <w:pStyle w:val="BodyText"/>
      </w:pPr>
      <w:r>
        <w:t xml:space="preserve">This tutorial uses one exploratory plot and one compact reporting table as a bridge between analysis and communication.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"ggplot2", "RColorBrewer", "dplyr"))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Prepare a color palette and a shared theme so the plot is easier to read.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FirstParagraph"/>
      </w:pPr>
      <w:r>
        <w:t xml:space="preserve">Create a scatter plot to inspect how two numeric attributes relate to the class structure. This kind of chart is often useful before choosing a classifier.</w:t>
      </w:r>
    </w:p>
    <w:p>
      <w:pPr>
        <w:pStyle w:val="SourceCode"/>
      </w:pPr>
      <w:r>
        <w:rPr>
          <w:rStyle w:val="NormalTok"/>
        </w:rPr>
        <w:t xml:space="preserve">gr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Species),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tutorial/doc/12-visual-analysis-and-reporting_files/47c856a3b02aea462ae3d27fae39537484ff53f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create a small comparison table that could appear in a report. The exact numbers are less important than the idea of communicating results in a compact and reproducible way. Each learner returns class scores,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summarizes them into the reporting metrics.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majority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(models[[name]],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(fitted,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  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(fitted,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(metrics),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report)</w:t>
      </w:r>
    </w:p>
    <w:p>
      <w:pPr>
        <w:pStyle w:val="SourceCode"/>
      </w:pPr>
      <w:r>
        <w:rPr>
          <w:rStyle w:val="VerbatimChar"/>
        </w:rPr>
        <w:t xml:space="preserve">##                 model t(metrics)</w:t>
      </w:r>
      <w:r>
        <w:br/>
      </w:r>
      <w:r>
        <w:rPr>
          <w:rStyle w:val="VerbatimChar"/>
        </w:rPr>
        <w:t xml:space="preserve">## accuracy     majority  0.3333333</w:t>
      </w:r>
      <w:r>
        <w:br/>
      </w:r>
      <w:r>
        <w:rPr>
          <w:rStyle w:val="VerbatimChar"/>
        </w:rPr>
        <w:t xml:space="preserve">## TP           majority 10.0000000</w:t>
      </w:r>
      <w:r>
        <w:br/>
      </w:r>
      <w:r>
        <w:rPr>
          <w:rStyle w:val="VerbatimChar"/>
        </w:rPr>
        <w:t xml:space="preserve">## TN           majority  0.0000000</w:t>
      </w:r>
      <w:r>
        <w:br/>
      </w:r>
      <w:r>
        <w:rPr>
          <w:rStyle w:val="VerbatimChar"/>
        </w:rPr>
        <w:t xml:space="preserve">## FP           majority 20.0000000</w:t>
      </w:r>
      <w:r>
        <w:br/>
      </w:r>
      <w:r>
        <w:rPr>
          <w:rStyle w:val="VerbatimChar"/>
        </w:rPr>
        <w:t xml:space="preserve">## FN           majority  0.0000000</w:t>
      </w:r>
      <w:r>
        <w:br/>
      </w:r>
      <w:r>
        <w:rPr>
          <w:rStyle w:val="VerbatimChar"/>
        </w:rPr>
        <w:t xml:space="preserve">## precision    majority  0.3333333</w:t>
      </w:r>
      <w:r>
        <w:br/>
      </w:r>
      <w:r>
        <w:rPr>
          <w:rStyle w:val="VerbatimChar"/>
        </w:rPr>
        <w:t xml:space="preserve">## recall       majority  1.0000000</w:t>
      </w:r>
      <w:r>
        <w:br/>
      </w:r>
      <w:r>
        <w:rPr>
          <w:rStyle w:val="VerbatimChar"/>
        </w:rPr>
        <w:t xml:space="preserve">## sensitivity  majority  1.0000000</w:t>
      </w:r>
      <w:r>
        <w:br/>
      </w:r>
      <w:r>
        <w:rPr>
          <w:rStyle w:val="VerbatimChar"/>
        </w:rPr>
        <w:t xml:space="preserve">## specificity  majority  0.0000000</w:t>
      </w:r>
      <w:r>
        <w:br/>
      </w:r>
      <w:r>
        <w:rPr>
          <w:rStyle w:val="VerbatimChar"/>
        </w:rPr>
        <w:t xml:space="preserve">## f1           majority  0.5000000</w:t>
      </w:r>
      <w:r>
        <w:br/>
      </w:r>
      <w:r>
        <w:rPr>
          <w:rStyle w:val="VerbatimChar"/>
        </w:rPr>
        <w:t xml:space="preserve">## accuracy1        tree  0.9333333</w:t>
      </w:r>
      <w:r>
        <w:br/>
      </w:r>
      <w:r>
        <w:rPr>
          <w:rStyle w:val="VerbatimChar"/>
        </w:rPr>
        <w:t xml:space="preserve">## TP1              tree 10.0000000</w:t>
      </w:r>
      <w:r>
        <w:br/>
      </w:r>
      <w:r>
        <w:rPr>
          <w:rStyle w:val="VerbatimChar"/>
        </w:rPr>
        <w:t xml:space="preserve">## TN1              tree 20.0000000</w:t>
      </w:r>
      <w:r>
        <w:br/>
      </w:r>
      <w:r>
        <w:rPr>
          <w:rStyle w:val="VerbatimChar"/>
        </w:rPr>
        <w:t xml:space="preserve">## FP1              tree  0.0000000</w:t>
      </w:r>
      <w:r>
        <w:br/>
      </w:r>
      <w:r>
        <w:rPr>
          <w:rStyle w:val="VerbatimChar"/>
        </w:rPr>
        <w:t xml:space="preserve">## FN1              tree  0.0000000</w:t>
      </w:r>
      <w:r>
        <w:br/>
      </w:r>
      <w:r>
        <w:rPr>
          <w:rStyle w:val="VerbatimChar"/>
        </w:rPr>
        <w:t xml:space="preserve">## precision1       tree  1.0000000</w:t>
      </w:r>
      <w:r>
        <w:br/>
      </w:r>
      <w:r>
        <w:rPr>
          <w:rStyle w:val="VerbatimChar"/>
        </w:rPr>
        <w:t xml:space="preserve">## recall1          tree  1.0000000</w:t>
      </w:r>
      <w:r>
        <w:br/>
      </w:r>
      <w:r>
        <w:rPr>
          <w:rStyle w:val="VerbatimChar"/>
        </w:rPr>
        <w:t xml:space="preserve">## sensitivity1     tree  1.0000000</w:t>
      </w:r>
      <w:r>
        <w:br/>
      </w:r>
      <w:r>
        <w:rPr>
          <w:rStyle w:val="VerbatimChar"/>
        </w:rPr>
        <w:t xml:space="preserve">## specificity1     tree  1.0000000</w:t>
      </w:r>
      <w:r>
        <w:br/>
      </w:r>
      <w:r>
        <w:rPr>
          <w:rStyle w:val="VerbatimChar"/>
        </w:rPr>
        <w:t xml:space="preserve">## f11              tree  1.0000000</w:t>
      </w:r>
    </w:p>
    <w:p>
      <w:pPr>
        <w:pStyle w:val="FirstParagraph"/>
      </w:pPr>
      <w:r>
        <w:t xml:space="preserve">For teaching purposes, this tutorial shows that analysis and communication should be treated as part of the same workflow.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2026-05-13T01:39:51Z</dcterms:created>
  <dcterms:modified xsi:type="dcterms:W3CDTF">2026-05-13T01:39:51Z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