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3---custom-extension"/>
    <w:p>
      <w:pPr>
        <w:pStyle w:val="Heading2"/>
      </w:pPr>
      <w:r>
        <w:t xml:space="preserve">Tutorial 13 - Custom Extension</w:t>
      </w:r>
    </w:p>
    <w:p>
      <w:pPr>
        <w:pStyle w:val="FirstParagraph"/>
      </w:pPr>
      <w:r>
        <w:t xml:space="preserve">One of the strongest ideas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is extensibility. A researcher may want to use a method that is not built into the package, but still keep the same Experiment Line workflow.</w:t>
      </w:r>
    </w:p>
    <w:p>
      <w:pPr>
        <w:pStyle w:val="BodyText"/>
      </w:pPr>
      <w:r>
        <w:t xml:space="preserve">This tutorial revisits that idea with a compact custom classifier based on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. The important lesson is not the specific backend; it is the integration pattern.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Define a constructor that stores the learner configuration. This is the object the user will instantiate before training.</w:t>
      </w:r>
    </w:p>
    <w:p>
      <w:pPr>
        <w:pStyle w:val="SourceCode"/>
      </w:pPr>
      <w:r>
        <w:rPr>
          <w:rStyle w:val="NormalTok"/>
        </w:rPr>
        <w:t xml:space="preserve">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classification</w:t>
      </w:r>
      <w:r>
        <w:rPr>
          <w:rStyle w:val="NormalTok"/>
        </w:rPr>
        <w:t xml:space="preserve">(attribute, 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"cla_rsnns_custom"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so the custom object can be trained inside the same workflow used by built-in learners.</w:t>
      </w:r>
    </w:p>
    <w:p>
      <w:pPr>
        <w:pStyle w:val="SourceCode"/>
      </w:pPr>
      <w:r>
        <w:rPr>
          <w:rStyle w:val="NormalTok"/>
        </w:rPr>
        <w:t xml:space="preserve">fit.cla_rsnns_custom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tutorial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adjust_factor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ilevels,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so the fitted object returns outputs in the format expected by the framework: one row per case and one column per class.</w:t>
      </w:r>
    </w:p>
    <w:p>
      <w:pPr>
        <w:pStyle w:val="SourceCode"/>
      </w:pPr>
      <w:r>
        <w:rPr>
          <w:rStyle w:val="NormalTok"/>
        </w:rPr>
        <w:t xml:space="preserve">predict.cla_rsnns_custom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</w:t>
      </w:r>
      <w:r>
        <w:br/>
      </w:r>
      <w:r>
        <w:rPr>
          <w:rStyle w:val="NormalTok"/>
        </w:rPr>
        <w:t xml:space="preserve">  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(prediction)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slevels</w:t>
      </w:r>
      <w:r>
        <w:br/>
      </w:r>
      <w:r>
        <w:rPr>
          <w:rStyle w:val="NormalTok"/>
        </w:rPr>
        <w:t xml:space="preserve">  prediction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Finally, use the custom learner exactly as you would use a built-in learner. This is the pedagogical payoff of the design.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 9 21  0  0         1      1           1           1  1</w:t>
      </w:r>
    </w:p>
    <w:p>
      <w:pPr>
        <w:pStyle w:val="FirstParagraph"/>
      </w:pPr>
      <w:r>
        <w:t xml:space="preserve">The core message is that extending the framework should not require rewriting the entire experimental workflow.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2026-05-13T01:39:52Z</dcterms:created>
  <dcterms:modified xsi:type="dcterms:W3CDTF">2026-05-13T01:39:52Z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