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  <w:r>
        <w:t xml:space="preserve"> </w:t>
      </w:r>
      <w:r>
        <w:t xml:space="preserve">- Common hyperparameters: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(penalty),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(insensitive-margin width),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(e.g., linear, radial, polynomial, sigmoid).</w:t>
      </w:r>
    </w:p>
    <w:p>
      <w:pPr>
        <w:pStyle w:val="BodyText"/>
      </w:pPr>
      <w:r>
        <w:t xml:space="preserve">Environment setup: install and load the package.</w:t>
      </w:r>
    </w:p>
    <w:p>
      <w:pPr>
        <w:pStyle w:val="SourceCode"/>
      </w:pPr>
      <w:r>
        <w:rPr>
          <w:rStyle w:val="CommentTok"/>
        </w:rPr>
        <w:t xml:space="preserve"># Classification using Support Vector Machine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sample data (iris) and initial inspection.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Identify the 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Check class distribution after the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SVM: tune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default kernel; adjust as needed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  <w:r>
        <w:t xml:space="preserve"> </w:t>
      </w:r>
      <w:r>
        <w:t xml:space="preserve">Predict and compute metrics.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 and Vapnik, V. (1995). Support-Vector Networks. Machine Learning 20(3):273–297.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2026-03-11T01:46:54Z</dcterms:created>
  <dcterms:modified xsi:type="dcterms:W3CDTF">2026-03-11T01:46:54Z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