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: Support Vector Regression (SVR). Models a function with an error-insensitive margin up to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and penalizes violations via</w:t>
      </w:r>
      <w:r>
        <w:t xml:space="preserve"> </w:t>
      </w:r>
      <w:r>
        <w:rPr>
          <w:rStyle w:val="VerbatimChar"/>
        </w:rPr>
        <w:t xml:space="preserve">cost</w:t>
      </w:r>
      <w:r>
        <w:t xml:space="preserve">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(if applicable).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SVM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SVR: set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(default kernel if not defined).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cost=</w:t>
      </w:r>
      <w:r>
        <w:rPr>
          <w:rStyle w:val="FloatTok"/>
        </w:rPr>
        <w:t xml:space="preserve">40.000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2.855767 0.0700268 0.9682722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14.65598 0.1363336 0.7564457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Drucker, H., Burges, C., Kaufman, L., Smola, A., Vapnik, V. (1997). Support Vector Regression Machines.</w:t>
      </w:r>
      <w:r>
        <w:t xml:space="preserve"> </w:t>
      </w:r>
      <w:r>
        <w:t xml:space="preserve">- Chang, C.-C. and Lin, C.-J. (2011). LIBSVM: A library for support vector machines.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2026-03-11T01:47:22Z</dcterms:created>
  <dcterms:modified xsi:type="dcterms:W3CDTF">2026-03-11T01:47:22Z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