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BodyText"/>
      </w:pPr>
      <w:r>
        <w:t xml:space="preserve">Didactic goal: establish the standard classification line of experiment used throughout this family of examples. Later files should be read as variations of this same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0.3416667 41  0 79  0 0.3416667      1           1           0 0.5093168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       f1</w:t>
      </w:r>
      <w:r>
        <w:br/>
      </w:r>
      <w:r>
        <w:rPr>
          <w:rStyle w:val="VerbatimChar"/>
        </w:rPr>
        <w:t xml:space="preserve">## 1      0.3  9  0 21  0       0.3      1           1           0 0.4615385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This learner defines the minimum bar that stronger classifiers should beat.</w:t>
      </w:r>
      <w:r>
        <w:t xml:space="preserve"> </w:t>
      </w:r>
      <w:r>
        <w:t xml:space="preserve">- The line of experiment already contains everything needed for the later classification examples.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Witten, I. H., Frank, E., Hall, M. A., and Pal, C. J. (2016). Data Mining: Practical Machine Learning Tools and Techniques (4th ed.).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2026-05-13T05:52:19Z</dcterms:created>
  <dcterms:modified xsi:type="dcterms:W3CDTF">2026-05-13T05:52:19Z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