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cla_xgboost</w:t>
      </w:r>
      <w:r>
        <w:t xml:space="preserve">: gradient boosting classifier using the</w:t>
      </w:r>
      <w:r>
        <w:t xml:space="preserve"> </w:t>
      </w:r>
      <w:r>
        <w:rPr>
          <w:rStyle w:val="VerbatimChar"/>
        </w:rPr>
        <w:t xml:space="preserve">xgboost</w:t>
      </w:r>
      <w:r>
        <w:t xml:space="preserve"> </w:t>
      </w:r>
      <w:r>
        <w:t xml:space="preserve">backend.</w:t>
      </w:r>
    </w:p>
    <w:p>
      <w:pPr>
        <w:pStyle w:val="BodyText"/>
      </w:pPr>
      <w:r>
        <w:t xml:space="preserve">Didactic goal: keep the multiclass classification line of experiment fixed and show how a more configurable boosting engine still fits the same DAL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"xgboost"))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"xgboost"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cla_xgboost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max_depth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nthread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nrounds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"xgboost"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  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  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accuracy TP TN FP FN precision    recall sensitivity specificity  f1</w:t>
      </w:r>
      <w:r>
        <w:br/>
      </w:r>
      <w:r>
        <w:rPr>
          <w:rStyle w:val="VerbatimChar"/>
        </w:rPr>
        <w:t xml:space="preserve">## 1      0.3 12 52 27 29 0.3076923 0.2926829   0.2926829   0.6582278 0.3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"xgboost"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 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  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 accuracy TP TN FP FN precision    recall sensitivity specificity        f1</w:t>
      </w:r>
      <w:r>
        <w:br/>
      </w:r>
      <w:r>
        <w:rPr>
          <w:rStyle w:val="VerbatimChar"/>
        </w:rPr>
        <w:t xml:space="preserve">## 1 0.2666667  1 12  9  8       0.1 0.1111111   0.1111111   0.5714286 0.1052632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experiment body is the same as in the other multiclass classification examples.</w:t>
      </w:r>
      <w:r>
        <w:t xml:space="preserve"> </w:t>
      </w:r>
      <w:r>
        <w:t xml:space="preserve">- The method-specific change is in the boosting engine and its configuration, not in the workflow.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Chen, T., and Guestrin, C. (2016). XGBoost: A Scalable Tree Boosting System.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2026-05-13T05:52:30Z</dcterms:created>
  <dcterms:modified xsi:type="dcterms:W3CDTF">2026-05-13T05:52:30Z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