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clustering-examples"/>
    <w:p>
      <w:pPr>
        <w:pStyle w:val="Heading1"/>
      </w:pPr>
      <w:r>
        <w:t xml:space="preserve">Clustering Examples</w:t>
      </w:r>
    </w:p>
    <w:p>
      <w:pPr>
        <w:pStyle w:val="FirstParagraph"/>
      </w:pPr>
      <w:r>
        <w:t xml:space="preserve">This section organizes clustering by modeling family instead of treating all unsupervised methods as interchangeable. The numbering now leaves visible gaps so the reader can distinguish the introductory partitional/medoid methods from density-based clustering and from tuning-oriented workflows.</w:t>
      </w:r>
    </w:p>
    <w:p>
      <w:pPr>
        <w:pStyle w:val="BodyText"/>
      </w:pPr>
      <w:r>
        <w:t xml:space="preserve">A good reading order is to start with centroid-based clustering, compare it with medoid-based clustering, then move to density-based discovery, and only after that inspect clustering model selection.</w:t>
      </w:r>
    </w:p>
    <w:bookmarkStart w:id="11" w:name="partition-based-foundations"/>
    <w:p>
      <w:pPr>
        <w:pStyle w:val="Heading2"/>
      </w:pPr>
      <w:r>
        <w:t xml:space="preserve">Partition-Based Foundations</w:t>
      </w:r>
    </w:p>
    <w:p>
      <w:pPr>
        <w:pStyle w:val="FirstParagraph"/>
      </w:pPr>
      <w:r>
        <w:t xml:space="preserve">These examples are the fastest way to understand how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represents unsupervised learners, cluster assignments, and evaluation outputs.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01-partitional-kmeans.md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clu_kmeans</w:t>
      </w:r>
      <w:r>
        <w:t xml:space="preserve">: centroid-based clustering with Euclidean partitions.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02-medoid-pam.md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clu_pam</w:t>
      </w:r>
      <w:r>
        <w:t xml:space="preserve">: medoid-based clustering, often more robust to extreme points.</w:t>
      </w:r>
    </w:p>
    <w:bookmarkEnd w:id="11"/>
    <w:bookmarkStart w:id="13" w:name="density-based-clustering"/>
    <w:p>
      <w:pPr>
        <w:pStyle w:val="Heading2"/>
      </w:pPr>
      <w:r>
        <w:t xml:space="preserve">Density-Based Clustering</w:t>
      </w:r>
    </w:p>
    <w:p>
      <w:pPr>
        <w:pStyle w:val="FirstParagraph"/>
      </w:pPr>
      <w:r>
        <w:t xml:space="preserve">This block separates methods that detect dense regions from those that force every instance into a centroid or medoid partition.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10-density-dbscan.md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clu_dbscan</w:t>
      </w:r>
      <w:r>
        <w:t xml:space="preserve">: groups dense neighborhoods and can leave noise points unassigned.</w:t>
      </w:r>
    </w:p>
    <w:bookmarkEnd w:id="13"/>
    <w:bookmarkStart w:id="18" w:name="soft-model-based-and-hierarchical-views"/>
    <w:p>
      <w:pPr>
        <w:pStyle w:val="Heading2"/>
      </w:pPr>
      <w:r>
        <w:t xml:space="preserve">Soft, Model-Based, and Hierarchical Views</w:t>
      </w:r>
    </w:p>
    <w:p>
      <w:pPr>
        <w:pStyle w:val="FirstParagraph"/>
      </w:pPr>
      <w:r>
        <w:t xml:space="preserve">This block widens the clustering perspective beyond hard partitions. These methods are useful when the analyst wants memberships, probabilistic mixtures, hierarchical merge structure, or graph communities.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11-fuzzy-cmeans.md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clustering with membership degrees.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12-model-based-gmm.md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13-hierarchical-hclust.md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14-graph-louvain.md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bookmarkEnd w:id="18"/>
    <w:bookmarkStart w:id="20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This final example is kept apart because it is about choosing configurations, not only understanding a single clustering family.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20-model-selection-tuning.md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compares clustering configurations through the DAL tuning workflow.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2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2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2026-05-13T05:52:36Z</dcterms:created>
  <dcterms:modified xsi:type="dcterms:W3CDTF">2026-05-13T05:52:36Z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