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discovers association rules and evaluates them with support, confidence, lift, and retained-pattern summaries.</w:t>
      </w:r>
    </w:p>
    <w:bookmarkEnd w:id="10"/>
    <w:bookmarkStart w:id="12" w:name="frequent-itemsets"/>
    <w:p>
      <w:pPr>
        <w:pStyle w:val="Heading2"/>
      </w:pPr>
      <w:r>
        <w:t xml:space="preserve">Frequent Itemsets</w:t>
      </w:r>
    </w:p>
    <w:p>
      <w:pPr>
        <w:pStyle w:val="FirstParagraph"/>
      </w:pPr>
      <w:r>
        <w:t xml:space="preserve">Move next to itemset discovery, where the focus is on what appears together rather than on directional implication.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mines frequent itemsets and shows how include/exclude filters guide interpretation.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2026-05-13T05:53:15Z</dcterms:created>
  <dcterms:modified xsi:type="dcterms:W3CDTF">2026-05-13T05:53:15Z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