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reg_lm</w:t>
      </w:r>
      <w:r>
        <w:t xml:space="preserve">: ordinary linear regression model.</w:t>
      </w:r>
    </w:p>
    <w:p>
      <w:pPr>
        <w:pStyle w:val="BodyText"/>
      </w:pPr>
      <w:r>
        <w:t xml:space="preserve">Didactic goal: preserve the same regression line of experiment and use a linear model as a reference point before comparing nonlinear or ensemble regressors.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medv</w:t>
      </w:r>
      <w:r>
        <w:t xml:space="preserve"> </w:t>
      </w:r>
      <w:r>
        <w:t xml:space="preserve">and reproducible train/test split.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21.79902 0.1640558 0.7260455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22.92349 0.1591423 0.7767461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regression workflow is the same as in the other examples.</w:t>
      </w:r>
      <w:r>
        <w:t xml:space="preserve"> </w:t>
      </w:r>
      <w:r>
        <w:t xml:space="preserve">- The method-specific difference is the linear relationship assumed between predictors and target.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Montgomery, D. C., Peck, E. A., and Vining, G. G. (2021). Introduction to Linear Regression Analysis.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2026-05-13T05:53:16Z</dcterms:created>
  <dcterms:modified xsi:type="dcterms:W3CDTF">2026-05-13T05:53:16Z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