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supp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miner estimates them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with threshold strategies such as</w:t>
      </w:r>
      <w:r>
        <w:t xml:space="preserve"> </w:t>
      </w:r>
      <w:r>
        <w:rPr>
          <w:rStyle w:val="VerbatimChar"/>
        </w:rPr>
        <w:t xml:space="preserve">pat_support_threshold()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pat_confidence_threshold()</w:t>
      </w:r>
      <w:r>
        <w:t xml:space="preserve">. These strategies configure the search space; the filters below are post-mining rule filters.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d090_patterns.pdf</w:t>
        </w:r>
      </w:hyperlink>
      <w:r>
        <w:t xml:space="preserve"> </w:t>
      </w:r>
      <w:r>
        <w:t xml:space="preserve">— draft, auto-generated from Markdown source; pending a proper presentation design. This whole folder is one coherent topic (association rules, itemsets, sequences, and rule filtering), so it does not need to be split into subfolders, the same way</w:t>
      </w:r>
      <w:r>
        <w:t xml:space="preserve"> </w:t>
      </w:r>
      <w:r>
        <w:rPr>
          <w:rStyle w:val="VerbatimChar"/>
        </w:rPr>
        <w:t xml:space="preserve">custom/</w:t>
      </w:r>
      <w:r>
        <w:t xml:space="preserve"> </w:t>
      </w:r>
      <w:r>
        <w:t xml:space="preserve">maps entirely to</w:t>
      </w:r>
      <w:r>
        <w:t xml:space="preserve"> </w:t>
      </w:r>
      <w:r>
        <w:rPr>
          <w:rStyle w:val="VerbatimChar"/>
        </w:rPr>
        <w:t xml:space="preserve">d080_custom.pdf</w:t>
      </w:r>
      <w:r>
        <w:t xml:space="preserve">.</w:t>
      </w:r>
    </w:p>
    <w:bookmarkStart w:id="11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directional rules with a fixed consequent (</w:t>
      </w:r>
      <w:r>
        <w:rPr>
          <w:rStyle w:val="VerbatimChar"/>
        </w:rPr>
        <w:t xml:space="preserve">rhs</w:t>
      </w:r>
      <w:r>
        <w:t xml:space="preserve">) and explicit filtering by confidence and lift.</w:t>
      </w:r>
    </w:p>
    <w:bookmarkEnd w:id="11"/>
    <w:bookmarkStart w:id="13" w:name="filtering-and-constraints"/>
    <w:p>
      <w:pPr>
        <w:pStyle w:val="Heading2"/>
      </w:pPr>
      <w:r>
        <w:t xml:space="preserve">Filtering and Constraints</w:t>
      </w:r>
    </w:p>
    <w:p>
      <w:pPr>
        <w:pStyle w:val="FirstParagraph"/>
      </w:pPr>
      <w:r>
        <w:t xml:space="preserve">Before sequence mining, it helps to separate two kinds of intelligence: directional rules and filtered co-occurrence structures.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itemset mining with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, and post-mining support filtering.</w:t>
      </w:r>
    </w:p>
    <w:bookmarkEnd w:id="13"/>
    <w:bookmarkStart w:id="15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5"/>
    <w:bookmarkStart w:id="17" w:name="interesting-rule-filters"/>
    <w:p>
      <w:pPr>
        <w:pStyle w:val="Heading2"/>
      </w:pPr>
      <w:r>
        <w:t xml:space="preserve">Interesting Rule Filters</w:t>
      </w:r>
    </w:p>
    <w:p>
      <w:pPr>
        <w:pStyle w:val="FirstParagraph"/>
      </w:pPr>
      <w:r>
        <w:t xml:space="preserve">Use interesting-rule filters after a miner has produced candidate association rules. The default</w:t>
      </w:r>
      <w:r>
        <w:t xml:space="preserve"> </w:t>
      </w:r>
      <w:r>
        <w:rPr>
          <w:rStyle w:val="VerbatimChar"/>
        </w:rPr>
        <w:t xml:space="preserve">pat_rule_filter_none()</w:t>
      </w:r>
      <w:r>
        <w:t xml:space="preserve"> </w:t>
      </w:r>
      <w:r>
        <w:t xml:space="preserve">keeps all candidate rules; classical filters use measures such as lift, Kulczynski, and imbalance ratio; DARA filters rules by divergent antecedent values.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30-divergent-association-ranking.md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pat_rule_filter_none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pat_rule_filter_interest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pat_rule_filter_dara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pat_filter_rules</w:t>
      </w:r>
      <w:r>
        <w:t xml:space="preserve">: post-mining filtering of interesting association rules.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patterns/01-apriori-rules.md" TargetMode="External" /><Relationship Type="http://schemas.openxmlformats.org/officeDocument/2006/relationships/hyperlink" Id="rId12" Target="/examples/patterns/10-eclat-itemsets.md" TargetMode="External" /><Relationship Type="http://schemas.openxmlformats.org/officeDocument/2006/relationships/hyperlink" Id="rId14" Target="/examples/patterns/20-cspade-sequences.md" TargetMode="External" /><Relationship Type="http://schemas.openxmlformats.org/officeDocument/2006/relationships/hyperlink" Id="rId16" Target="/examples/patterns/30-divergent-association-ranking.md" TargetMode="External" /><Relationship Type="http://schemas.openxmlformats.org/officeDocument/2006/relationships/hyperlink" Id="rId9" Target="https://github.com/cefet-rj-dal/daltoolbox/blob/main/examples/pdf/d090_pattern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patterns/01-apriori-rules.md" TargetMode="External" /><Relationship Type="http://schemas.openxmlformats.org/officeDocument/2006/relationships/hyperlink" Id="rId12" Target="/examples/patterns/10-eclat-itemsets.md" TargetMode="External" /><Relationship Type="http://schemas.openxmlformats.org/officeDocument/2006/relationships/hyperlink" Id="rId14" Target="/examples/patterns/20-cspade-sequences.md" TargetMode="External" /><Relationship Type="http://schemas.openxmlformats.org/officeDocument/2006/relationships/hyperlink" Id="rId16" Target="/examples/patterns/30-divergent-association-ranking.md" TargetMode="External" /><Relationship Type="http://schemas.openxmlformats.org/officeDocument/2006/relationships/hyperlink" Id="rId9" Target="https://github.com/cefet-rj-dal/daltoolbox/blob/main/examples/pdf/d090_pattern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2026-09-20T21:03:08Z</dcterms:created>
  <dcterms:modified xsi:type="dcterms:W3CDTF">2026-09-20T21:03:08Z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