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predicts numeric values by leaf means.</w:t>
      </w:r>
    </w:p>
    <w:p>
      <w:pPr>
        <w:pStyle w:val="BodyText"/>
      </w:pPr>
      <w:r>
        <w:t xml:space="preserve">Didactic goal: establish the standard regression line of experiment used throughout this family of examples.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already has the same structural rhythm as classification.</w:t>
      </w:r>
      <w:r>
        <w:t xml:space="preserve"> </w:t>
      </w:r>
      <w:r>
        <w:t xml:space="preserve">- What changes is the target type and the interpretation of the evaluation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2026-09-20T21:03:09Z</dcterms:created>
  <dcterms:modified xsi:type="dcterms:W3CDTF">2026-09-20T21:03:09Z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