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odel-selection-examples"/>
    <w:p>
      <w:pPr>
        <w:pStyle w:val="Heading1"/>
      </w:pPr>
      <w:r>
        <w:t xml:space="preserve">Model Selection Examples</w:t>
      </w:r>
    </w:p>
    <w:p>
      <w:pPr>
        <w:pStyle w:val="FirstParagraph"/>
      </w:pPr>
      <w:r>
        <w:t xml:space="preserve">Hyperparameter optimization for regression models, searching the parameter space to maximize predictive performance and prevent overfitting.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d055_regression_model-selection.pdf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model-selection/50-model-selection-tuning.md" TargetMode="External" /><Relationship Type="http://schemas.openxmlformats.org/officeDocument/2006/relationships/hyperlink" Id="rId9" Target="https://github.com/cefet-rj-dal/daltoolbox/blob/main/examples/pdf/d055_regression_model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model-selection/50-model-selection-tuning.md" TargetMode="External" /><Relationship Type="http://schemas.openxmlformats.org/officeDocument/2006/relationships/hyperlink" Id="rId9" Target="https://github.com/cefet-rj-dal/daltoolbox/blob/main/examples/pdf/d055_regression_model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2026-09-20T21:03:25Z</dcterms:created>
  <dcterms:modified xsi:type="dcterms:W3CDTF">2026-09-20T21:03:25Z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