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class balancing by up-sampling or down-sampling through the sampling interface.</w:t>
      </w:r>
    </w:p>
    <w:p>
      <w:pPr>
        <w:pStyle w:val="BodyText"/>
      </w:pPr>
      <w:r>
        <w:t xml:space="preserve">Didactic goal: compare this general balancing helper with the more explicit oversampling and subsampling examples. Here the emphasis is on class-count correction, not on synthetic data generation.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subset and then rebalance it.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(bal_down,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NormalTok"/>
        </w:rPr>
        <w:t xml:space="preserve">bal_up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(bal_up,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2026-09-20T21:03:36Z</dcterms:created>
  <dcterms:modified xsi:type="dcterms:W3CDTF">2026-09-20T21:03:36Z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