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caling-examples"/>
    <w:p>
      <w:pPr>
        <w:pStyle w:val="Heading1"/>
      </w:pPr>
      <w:r>
        <w:t xml:space="preserve">Scaling Examples</w:t>
      </w:r>
    </w:p>
    <w:p>
      <w:pPr>
        <w:pStyle w:val="FirstParagraph"/>
      </w:pPr>
      <w:r>
        <w:t xml:space="preserve">These examples make numeric attributes more suitable for downstream learners by changing their scale.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d034_transf_scaling.pdf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20-scaling-minmax.md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minmax</w:t>
      </w:r>
      <w:r>
        <w:t xml:space="preserve">: rescale numeric attributes to a bounded interval.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21-scaling-zscore.md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zscore</w:t>
      </w:r>
      <w:r>
        <w:t xml:space="preserve">: standardize numeric attributes by mean and standard deviation.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examples/transf/scaling/20-scaling-minmax.md" TargetMode="External" /><Relationship Type="http://schemas.openxmlformats.org/officeDocument/2006/relationships/hyperlink" Id="rId11" Target="/examples/transf/scaling/21-scaling-zscore.md" TargetMode="External" /><Relationship Type="http://schemas.openxmlformats.org/officeDocument/2006/relationships/hyperlink" Id="rId9" Target="https://github.com/cefet-rj-dal/daltoolbox/blob/main/examples/pdf/d034_transf_scaling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examples/transf/scaling/20-scaling-minmax.md" TargetMode="External" /><Relationship Type="http://schemas.openxmlformats.org/officeDocument/2006/relationships/hyperlink" Id="rId11" Target="/examples/transf/scaling/21-scaling-zscore.md" TargetMode="External" /><Relationship Type="http://schemas.openxmlformats.org/officeDocument/2006/relationships/hyperlink" Id="rId9" Target="https://github.com/cefet-rj-dal/daltoolbox/blob/main/examples/pdf/d034_transf_scaling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2026-09-20T21:03:38Z</dcterms:created>
  <dcterms:modified xsi:type="dcterms:W3CDTF">2026-09-20T21:03:38Z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