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01---first-experiment"/>
    <w:p>
      <w:pPr>
        <w:pStyle w:val="Heading2"/>
      </w:pPr>
      <w:r>
        <w:t xml:space="preserve">Tutorial 01 - First Experiment</w:t>
      </w:r>
    </w:p>
    <w:p>
      <w:pPr>
        <w:pStyle w:val="FirstParagraph"/>
      </w:pPr>
      <w:r>
        <w:t xml:space="preserve">The first objective is simple: understand the basic rhythm of a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experiment. In most supervised tasks, the same cycle appears again and again: prepare the data, split it, configure a learner, fit the model, predict on unseen cases, and evaluate the result.</w:t>
      </w:r>
    </w:p>
    <w:p>
      <w:pPr>
        <w:pStyle w:val="BodyText"/>
      </w:pPr>
      <w:r>
        <w:t xml:space="preserve">This tutorial intentionally uses a small and familiar dataset so the reader can focus on the workflow rather than on the domain.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Start by loading a dataset and identifying the target variable. In classification, it is important to know the possible class labels before training a learner.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Now create a training set and a test set. The training data is used to fit the learner; the test data is used later to estimate how the model behaves on new cases.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With the split ready, define a first learner. A decision tree is a good starting point because it is fast and easy to interpret.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After training, always check performance on both the training data and the test data. The comparison helps reveal whether the learner is simply memorizing the training set or generalizing in a reasonable way. In the classification API,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returns class scores, so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can be called directly with the original factor labels.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41 79  0  0         1      1           1           1  1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This structure is the foundation of the package. The later tutorials mainly change the sampling strategy, the preprocessing steps, or the learner itself, but the overall logic remains stable.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2026-09-20T21:03:40Z</dcterms:created>
  <dcterms:modified xsi:type="dcterms:W3CDTF">2026-09-20T21:03:40Z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