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12---model-comparison"/>
    <w:p>
      <w:pPr>
        <w:pStyle w:val="Heading2"/>
      </w:pPr>
      <w:r>
        <w:t xml:space="preserve">Tutorial 12 - Model Comparison</w:t>
      </w:r>
    </w:p>
    <w:p>
      <w:pPr>
        <w:pStyle w:val="FirstParagraph"/>
      </w:pPr>
      <w:r>
        <w:t xml:space="preserve">Once the baseline and the evaluation logic are clear, the next step is to compare multiple learners under the same conditions. The important idea is fairness: same dataset, same split, same metrics, different models.</w:t>
      </w:r>
    </w:p>
    <w:p>
      <w:pPr>
        <w:pStyle w:val="BodyText"/>
      </w:pPr>
      <w:r>
        <w:t xml:space="preserve">This is where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becomes useful as an experimental framework rather than just a collection of isolated functions.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Prepare one shared train/test split. This keeps the comparison controlled.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Define a small group of learners. The set mixes a baseline, a local method, a tree, and an ensemble so the reader sees different model families.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majority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and evaluate each learner using the same protocol.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(fitted, iris_test)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(fitted,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$majority</w:t>
      </w:r>
      <w:r>
        <w:br/>
      </w:r>
      <w:r>
        <w:rPr>
          <w:rStyle w:val="VerbatimChar"/>
        </w:rPr>
        <w:t xml:space="preserve">##    accuracy TP TN FP FN precision recall sensitivity specificity  f1</w:t>
      </w:r>
      <w:r>
        <w:br/>
      </w:r>
      <w:r>
        <w:rPr>
          <w:rStyle w:val="VerbatimChar"/>
        </w:rPr>
        <w:t xml:space="preserve">## 1 0.3333333 10  0 20  0 0.3333333      1           1           0 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$tree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10 20  0  0         1      1           1           1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$knn</w:t>
      </w:r>
      <w:r>
        <w:br/>
      </w: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0.9 10 20  0  0         1      1           1           1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$rf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10 20  0  0         1      1           1           1  1</w:t>
      </w:r>
    </w:p>
    <w:p>
      <w:pPr>
        <w:pStyle w:val="FirstParagraph"/>
      </w:pPr>
      <w:r>
        <w:t xml:space="preserve">At this stage, the main pedagogical gain is methodological: the learner changes, but the experiment design stays stable.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2026-09-20T21:03:43Z</dcterms:created>
  <dcterms:modified xsi:type="dcterms:W3CDTF">2026-09-20T21:03:43Z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