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k nearest neighbors in feature space.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(number of neighbors). Small k may overfit noise; larger k smooths the decision boundary.</w:t>
      </w:r>
    </w:p>
    <w:p>
      <w:pPr>
        <w:pStyle w:val="BodyText"/>
      </w:pPr>
      <w:r>
        <w:t xml:space="preserve">Environment setup: install and load the package.</w:t>
      </w:r>
    </w:p>
    <w:p>
      <w:pPr>
        <w:pStyle w:val="SourceCode"/>
      </w:pPr>
      <w:r>
        <w:rPr>
          <w:rStyle w:val="CommentTok"/>
        </w:rPr>
        <w:t xml:space="preserve"># Classification using KNN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sample data (iris) and initial inspection.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Identify 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to configure the classifier.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Train/test split with reproducible random sampling.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Check class distribution for full dataset, training, and test.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the kNN model: set target, levels, and k.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k=1 for nearest neighbor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  <w:r>
        <w:t xml:space="preserve"> </w:t>
      </w:r>
      <w:r>
        <w:t xml:space="preserve">Predict on training set, adjust labels, and compute metrics.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FirstParagraph"/>
      </w:pPr>
      <w:r>
        <w:t xml:space="preserve">Test evaluation</w:t>
      </w:r>
      <w:r>
        <w:t xml:space="preserve"> </w:t>
      </w:r>
      <w:r>
        <w:t xml:space="preserve">Predict on test set and compute metrics.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 and Hart, P. (1967). Nearest neighbor pattern classification. IEEE Transactions on Information Theory.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2026-03-11T02:02:59Z</dcterms:created>
  <dcterms:modified xsi:type="dcterms:W3CDTF">2026-03-11T02:02:59Z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