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cluster_kmeans</w:t>
      </w:r>
      <w:r>
        <w:t xml:space="preserve">: partitions data into k groups by minimizing within-cluster variance. Sensitive to scale; normalization can improve results.</w:t>
      </w:r>
    </w:p>
    <w:p>
      <w:pPr>
        <w:pStyle w:val="SourceCode"/>
      </w:pPr>
      <w:r>
        <w:rPr>
          <w:rStyle w:val="CommentTok"/>
        </w:rPr>
        <w:t xml:space="preserve"># Clustering - Kmeans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 </w:t>
      </w:r>
    </w:p>
    <w:p>
      <w:pPr>
        <w:pStyle w:val="FirstParagraph"/>
      </w:pPr>
      <w:r>
        <w:t xml:space="preserve">Load sample data (</w:t>
      </w:r>
      <w:r>
        <w:rPr>
          <w:rStyle w:val="VerbatimChar"/>
        </w:rPr>
        <w:t xml:space="preserve">iris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loading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</w:p>
    <w:p>
      <w:pPr>
        <w:pStyle w:val="FirstParagraph"/>
      </w:pPr>
      <w:r>
        <w:t xml:space="preserve">Configure K-means with k=3 (one cluster per species in iris).</w:t>
      </w:r>
    </w:p>
    <w:p>
      <w:pPr>
        <w:pStyle w:val="SourceCode"/>
      </w:pPr>
      <w:r>
        <w:rPr>
          <w:rStyle w:val="CommentTok"/>
        </w:rPr>
        <w:t xml:space="preserve"># clustering method configuration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CommentTok"/>
        </w:rPr>
        <w:t xml:space="preserve"># model fitting and labeling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96 33 21</w:t>
      </w:r>
    </w:p>
    <w:p>
      <w:pPr>
        <w:pStyle w:val="FirstParagraph"/>
      </w:pPr>
      <w:r>
        <w:t xml:space="preserve">External evaluation using true labels (</w:t>
      </w:r>
      <w:r>
        <w:rPr>
          <w:rStyle w:val="VerbatimChar"/>
        </w:rPr>
        <w:t xml:space="preserve">Species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evaluate model using external metric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0.999    96 0.639 </w:t>
      </w:r>
      <w:r>
        <w:br/>
      </w:r>
      <w:r>
        <w:rPr>
          <w:rStyle w:val="VerbatimChar"/>
        </w:rPr>
        <w:t xml:space="preserve">## 2 2     0        33 0     </w:t>
      </w:r>
      <w:r>
        <w:br/>
      </w:r>
      <w:r>
        <w:rPr>
          <w:rStyle w:val="VerbatimChar"/>
        </w:rPr>
        <w:t xml:space="preserve">## 3 3     0.702    21 0.0983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0.7375436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p>
      <w:pPr>
        <w:pStyle w:val="FirstParagraph"/>
      </w:pPr>
      <w:r>
        <w:t xml:space="preserve">Effect of normalization: compare results after min-max.</w:t>
      </w:r>
    </w:p>
    <w:p>
      <w:pPr>
        <w:pStyle w:val="SourceCode"/>
      </w:pPr>
      <w:r>
        <w:rPr>
          <w:rStyle w:val="CommentTok"/>
        </w:rPr>
        <w:t xml:space="preserve"># Influence of normalization in clustering</w:t>
      </w:r>
      <w:r>
        <w:br/>
      </w:r>
      <w:r>
        <w:br/>
      </w:r>
      <w:r>
        <w:rPr>
          <w:rStyle w:val="NormalTok"/>
        </w:rPr>
        <w:t xml:space="preserve">iris_minmax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(), iris), iris)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iris_minmax[,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iris_minmax[,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39 50 61</w:t>
      </w:r>
    </w:p>
    <w:p>
      <w:pPr>
        <w:pStyle w:val="FirstParagraph"/>
      </w:pPr>
      <w:r>
        <w:t xml:space="preserve">Re-evaluation with normalized data.</w:t>
      </w:r>
    </w:p>
    <w:p>
      <w:pPr>
        <w:pStyle w:val="SourceCode"/>
      </w:pPr>
      <w:r>
        <w:rPr>
          <w:rStyle w:val="CommentTok"/>
        </w:rPr>
        <w:t xml:space="preserve"># evaluate model using external metric</w:t>
      </w:r>
      <w:r>
        <w:br/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iris_minmax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0.391    39 0.102</w:t>
      </w:r>
      <w:r>
        <w:br/>
      </w:r>
      <w:r>
        <w:rPr>
          <w:rStyle w:val="VerbatimChar"/>
        </w:rPr>
        <w:t xml:space="preserve">## 2 2     0        50 0    </w:t>
      </w:r>
      <w:r>
        <w:br/>
      </w:r>
      <w:r>
        <w:rPr>
          <w:rStyle w:val="VerbatimChar"/>
        </w:rPr>
        <w:t xml:space="preserve">## 3 3     0.777    61 0.316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0.4177655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  <w:r>
        <w:t xml:space="preserve"> </w:t>
      </w:r>
      <w:r>
        <w:t xml:space="preserve">- Lloyd, S. (1982). Least squares quantization in PCM.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2026-03-11T02:03:07Z</dcterms:created>
  <dcterms:modified xsi:type="dcterms:W3CDTF">2026-03-11T02:03:07Z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