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cla_tune</w:t>
      </w:r>
      <w:r>
        <w:t xml:space="preserve">: performs hyperparameter search for a classifier over ranges defined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In this example the tuned base learner is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.</w:t>
      </w:r>
    </w:p>
    <w:p>
      <w:pPr>
        <w:pStyle w:val="BodyText"/>
      </w:pPr>
      <w:r>
        <w:t xml:space="preserve">Didactic goal: preserve the same classification line of experiment and treat tuning as a change in model configuration rather than as a separate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body is still split, fit, predict, and evaluate.</w:t>
      </w:r>
      <w:r>
        <w:t xml:space="preserve"> </w:t>
      </w:r>
      <w:r>
        <w:t xml:space="preserve">- Tuning changes how the model is selected, not how the experiment is read.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2026-05-14T02:35:08Z</dcterms:created>
  <dcterms:modified xsi:type="dcterms:W3CDTF">2026-05-14T02:35:08Z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