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cla_rpart</w:t>
      </w:r>
      <w:r>
        <w:t xml:space="preserve">: CART-style classification tree using the</w:t>
      </w:r>
      <w:r>
        <w:t xml:space="preserve"> </w:t>
      </w:r>
      <w:r>
        <w:rPr>
          <w:rStyle w:val="VerbatimChar"/>
        </w:rPr>
        <w:t xml:space="preserve">rpart</w:t>
      </w:r>
      <w:r>
        <w:t xml:space="preserve"> </w:t>
      </w:r>
      <w:r>
        <w:t xml:space="preserve">backend.</w:t>
      </w:r>
    </w:p>
    <w:p>
      <w:pPr>
        <w:pStyle w:val="BodyText"/>
      </w:pPr>
      <w:r>
        <w:t xml:space="preserve">Didactic goal: keep the multiclass classification line of experiment fixed and change only the tree backend. This helps compare wrapper behavior without changing the semantic structure of the example.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"rpart"))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cla_rpart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  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  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  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  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 9 21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Breiman, L., Friedman, J., Olshen, R., and Stone, C. (1984). Classification and Regression Trees.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2026-05-14T02:35:09Z</dcterms:created>
  <dcterms:modified xsi:type="dcterms:W3CDTF">2026-05-14T02:35:09Z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