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using 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show how a more configurable boosting engine still fits the same DAL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"xgboost"))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(xgboost)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the other multiclass classification examples.</w:t>
      </w:r>
      <w:r>
        <w:t xml:space="preserve"> </w:t>
      </w:r>
      <w:r>
        <w:t xml:space="preserve">- The method-specific change is in the boosting engine and its configuration, not in the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Chen, T., and Guestrin, C. (2016). XGBoost: A Scalable Tree Boosting System.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2026-07-08T21:13:31Z</dcterms:created>
  <dcterms:modified xsi:type="dcterms:W3CDTF">2026-07-08T21:13:31Z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