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cla_bagging</w:t>
      </w:r>
      <w:r>
        <w:t xml:space="preserve">: bootstrap aggregation of classification trees. The main idea is to reduce variance by fitting many trees on bootstrap samples and combining their votes.</w:t>
      </w:r>
    </w:p>
    <w:p>
      <w:pPr>
        <w:pStyle w:val="BodyText"/>
      </w:pPr>
      <w:r>
        <w:t xml:space="preserve">Didactic goal: keep the same classification line of experiment used in the earlier examples and change only the learner family. This makes it easier to compare what bagging changes relative to a single-tree baseline.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"ipred"))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(ipred)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cla_bagging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nbagg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Bagging keeps the same DAL workflow while changing the model-construction logic internally.</w:t>
      </w:r>
      <w:r>
        <w:t xml:space="preserve"> </w:t>
      </w:r>
      <w:r>
        <w:t xml:space="preserve">- The learner usually becomes more stable than a single tree because the prediction is aggregated across bootstrap models.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Breiman, L. (1996). Bagging Predictors.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2026-05-14T03:08:08Z</dcterms:created>
  <dcterms:modified xsi:type="dcterms:W3CDTF">2026-05-14T03:08:08Z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