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1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block separates evaluation customization from hyperparameter search. The first example shows how to change metric lists explicitly; the second uses those ideas inside the tuning workflow.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19-custom-evaluation.md</w:t>
        </w:r>
      </w:hyperlink>
      <w:r>
        <w:t xml:space="preserve"> </w:t>
      </w:r>
      <w:r>
        <w:t xml:space="preserve">- inspect default clustering metrics and replace them with a custom evaluation set.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2026-05-14T03:08:18Z</dcterms:created>
  <dcterms:modified xsi:type="dcterms:W3CDTF">2026-05-14T03:08:18Z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