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directional rules with a fixed consequent (</w:t>
      </w:r>
      <w:r>
        <w:rPr>
          <w:rStyle w:val="VerbatimChar"/>
        </w:rPr>
        <w:t xml:space="preserve">rhs</w:t>
      </w:r>
      <w:r>
        <w:t xml:space="preserve">) and explicit filtering by confidence and lift.</w:t>
      </w:r>
    </w:p>
    <w:bookmarkEnd w:id="10"/>
    <w:bookmarkStart w:id="12" w:name="filtering-and-constraints"/>
    <w:p>
      <w:pPr>
        <w:pStyle w:val="Heading2"/>
      </w:pPr>
      <w:r>
        <w:t xml:space="preserve">Filtering and Constraints</w:t>
      </w:r>
    </w:p>
    <w:p>
      <w:pPr>
        <w:pStyle w:val="FirstParagraph"/>
      </w:pPr>
      <w:r>
        <w:t xml:space="preserve">Before sequence mining, it helps to separate two kinds of intelligence: directional rules and filtered co-occurrence structures.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itemset mining with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, and post-mining support filtering.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2026-05-14T03:08:57Z</dcterms:created>
  <dcterms:modified xsi:type="dcterms:W3CDTF">2026-05-14T03:08:57Z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