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The example below tunes a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target levels.</w:t>
      </w:r>
    </w:p>
    <w:p>
      <w:pPr>
        <w:pStyle w:val="SourceCode"/>
      </w:pPr>
      <w:r>
        <w:rPr>
          <w:rStyle w:val="CommentTok"/>
        </w:rPr>
        <w:t xml:space="preserve"># Dataset for classification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split for tuning validation.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Hyperparameter grid and search training</w:t>
      </w:r>
    </w:p>
    <w:p>
      <w:pPr>
        <w:pStyle w:val="SourceCode"/>
      </w:pPr>
      <w:r>
        <w:rPr>
          <w:rStyle w:val="CommentTok"/>
        </w:rPr>
        <w:t xml:space="preserve"># Training with hyperparameter search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 with the best configuration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Evaluating # setosa as primary class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Example grids for other models</w:t>
      </w:r>
    </w:p>
    <w:p>
      <w:pPr>
        <w:pStyle w:val="SourceCode"/>
      </w:pPr>
      <w:r>
        <w:rPr>
          <w:rStyle w:val="CommentTok"/>
        </w:rPr>
        <w:t xml:space="preserve"># Grid options for other models</w:t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2025-11-07T00:35:40Z</dcterms:created>
  <dcterms:modified xsi:type="dcterms:W3CDTF">2025-11-07T00:35:40Z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