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BodyText"/>
      </w:pPr>
      <w:r>
        <w:t xml:space="preserve">This is one of the best examples for learning unsupervised analysis because the method is simple but the interpretation depends heavily on preprocessing choices.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the example as a study of representation and grouping, not as a prediction exercise.</w:t>
      </w:r>
    </w:p>
    <w:p>
      <w:pPr>
        <w:pStyle w:val="BodyText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96 33 21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0.999    96 0.639 </w:t>
      </w:r>
      <w:r>
        <w:br/>
      </w:r>
      <w:r>
        <w:rPr>
          <w:rStyle w:val="VerbatimChar"/>
        </w:rPr>
        <w:t xml:space="preserve">## 2 2     0        33 0     </w:t>
      </w:r>
      <w:r>
        <w:br/>
      </w:r>
      <w:r>
        <w:rPr>
          <w:rStyle w:val="VerbatimChar"/>
        </w:rPr>
        <w:t xml:space="preserve">## 3 3     0.702    21 0.0983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0.7375436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clustering is produced without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but the labels help interpret the result afterward.</w:t>
      </w:r>
      <w:r>
        <w:t xml:space="preserve"> </w:t>
      </w:r>
      <w:r>
        <w:t xml:space="preserve">- This kind of external evaluation is pedagogical: it gives intuition about cluster quality on a known dataset.</w:t>
      </w:r>
    </w:p>
    <w:p>
      <w:pPr>
        <w:pStyle w:val="BodyText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39 50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0.391    39 0.102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Thinking that clustering quality depends only on the algorithm and not on the scale of the features.</w:t>
      </w:r>
      <w:r>
        <w:t xml:space="preserve"> </w:t>
      </w:r>
      <w:r>
        <w:t xml:space="preserve">- Interpreting the external labels as if they had been used during training.</w:t>
      </w:r>
      <w:r>
        <w:t xml:space="preserve"> </w:t>
      </w:r>
      <w:r>
        <w:t xml:space="preserve">- Choosing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mechanically without considering the analytical purpose of the grouping.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2026-03-14T13:49:03Z</dcterms:created>
  <dcterms:modified xsi:type="dcterms:W3CDTF">2026-03-14T13:49:03Z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