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: Multilayer Perceptron (neural network) for regression.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(hidden units),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 </w:t>
      </w:r>
      <w:r>
        <w:t xml:space="preserve">(L2 regularization).</w:t>
      </w:r>
    </w:p>
    <w:p>
      <w:pPr>
        <w:pStyle w:val="BodyText"/>
      </w:pPr>
      <w:r>
        <w:t xml:space="preserve">Didactic goal: read this example as a numeric-prediction workflow. The main learning point is that the Experiment Line stays stable even though the target is continuous and the evaluation now focuses on regression errors.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MLP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 black  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 "numeric"</w:t>
      </w:r>
      <w:r>
        <w:br/>
      </w:r>
      <w:r>
        <w:rPr>
          <w:rStyle w:val="VerbatimChar"/>
        </w:rPr>
        <w:t xml:space="preserve">##      lstat     medv     </w:t>
      </w:r>
      <w:r>
        <w:br/>
      </w:r>
      <w:r>
        <w:rPr>
          <w:rStyle w:val="VerbatimChar"/>
        </w:rPr>
        <w:t xml:space="preserve">## [1,]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MLP: set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loatTok"/>
        </w:rPr>
        <w:t xml:space="preserve">0.54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6.531913 0.09502499 0.9274298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23.75304 0.1676875 0.60527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2026-03-14T13:49:24Z</dcterms:created>
  <dcterms:modified xsi:type="dcterms:W3CDTF">2026-03-14T13:49:24Z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