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33" w:name="tutorial-track"/>
    <w:p>
      <w:pPr>
        <w:pStyle w:val="Heading1"/>
      </w:pPr>
      <w:r>
        <w:t xml:space="preserve">Tutorial Track</w:t>
      </w:r>
    </w:p>
    <w:p>
      <w:pPr>
        <w:pStyle w:val="FirstParagraph"/>
      </w:pPr>
      <w:r>
        <w:t xml:space="preserve">This section reorganizes</w:t>
      </w:r>
      <w:r>
        <w:t xml:space="preserve"> </w:t>
      </w:r>
      <w:r>
        <w:rPr>
          <w:rStyle w:val="VerbatimChar"/>
        </w:rPr>
        <w:t xml:space="preserve">daltoolbox</w:t>
      </w:r>
      <w:r>
        <w:t xml:space="preserve"> </w:t>
      </w:r>
      <w:r>
        <w:t xml:space="preserve">as a guided learning path. Instead of presenting only isolated functions, the tutorials below walk through the main decisions that appear in a data mining study: understanding the workflow, splitting data, cleaning and transforming attributes, building baselines, reading metrics, comparing models, tuning, integrating complete pipelines, and extending the framework.</w:t>
      </w:r>
    </w:p>
    <w:p>
      <w:pPr>
        <w:pStyle w:val="BodyText"/>
      </w:pPr>
      <w:r>
        <w:t xml:space="preserve">The sequence is cumulative. Each tutorial introduces one main objective, explains why that step matters in a mining project, and then shows the code with more context than the reference examples. The goal is to help both readers who are new to</w:t>
      </w:r>
      <w:r>
        <w:t xml:space="preserve"> </w:t>
      </w:r>
      <w:r>
        <w:rPr>
          <w:rStyle w:val="VerbatimChar"/>
        </w:rPr>
        <w:t xml:space="preserve">daltoolbox</w:t>
      </w:r>
      <w:r>
        <w:t xml:space="preserve"> </w:t>
      </w:r>
      <w:r>
        <w:t xml:space="preserve">and readers who are still learning the logic of data mining experiments.</w:t>
      </w:r>
    </w:p>
    <w:p>
      <w:pPr>
        <w:pStyle w:val="BodyText"/>
      </w:pPr>
      <w:r>
        <w:t xml:space="preserve">Recommended reading order:</w:t>
      </w:r>
    </w:p>
    <w:p>
      <w:pPr>
        <w:pStyle w:val="Compact"/>
        <w:numPr>
          <w:ilvl w:val="0"/>
          <w:numId w:val="1001"/>
        </w:numPr>
      </w:pPr>
      <w:hyperlink r:id="rId20">
        <w:r>
          <w:rPr>
            <w:rStyle w:val="Hyperlink"/>
          </w:rPr>
          <w:t xml:space="preserve">01-first-experiment.md</w:t>
        </w:r>
      </w:hyperlink>
      <w:r>
        <w:t xml:space="preserve"> </w:t>
      </w:r>
      <w:r>
        <w:t xml:space="preserve">- understand the core Experiment Line cycle: split, fit, predict, evaluate.</w:t>
      </w:r>
    </w:p>
    <w:p>
      <w:pPr>
        <w:pStyle w:val="Compact"/>
        <w:numPr>
          <w:ilvl w:val="0"/>
          <w:numId w:val="1001"/>
        </w:numPr>
      </w:pPr>
      <w:hyperlink r:id="rId21">
        <w:r>
          <w:rPr>
            <w:rStyle w:val="Hyperlink"/>
          </w:rPr>
          <w:t xml:space="preserve">02-sampling-strategy.md</w:t>
        </w:r>
      </w:hyperlink>
      <w:r>
        <w:t xml:space="preserve"> </w:t>
      </w:r>
      <w:r>
        <w:t xml:space="preserve">- see how train/test splitting and folds affect the quality of an experiment.</w:t>
      </w:r>
    </w:p>
    <w:p>
      <w:pPr>
        <w:pStyle w:val="Compact"/>
        <w:numPr>
          <w:ilvl w:val="0"/>
          <w:numId w:val="1001"/>
        </w:numPr>
      </w:pPr>
      <w:hyperlink r:id="rId22">
        <w:r>
          <w:rPr>
            <w:rStyle w:val="Hyperlink"/>
          </w:rPr>
          <w:t xml:space="preserve">03-data-quality-and-cleaning.md</w:t>
        </w:r>
      </w:hyperlink>
      <w:r>
        <w:t xml:space="preserve"> </w:t>
      </w:r>
      <w:r>
        <w:t xml:space="preserve">- inspect missing values, outliers, and categorical transformations before modeling.</w:t>
      </w:r>
    </w:p>
    <w:p>
      <w:pPr>
        <w:pStyle w:val="Compact"/>
        <w:numPr>
          <w:ilvl w:val="0"/>
          <w:numId w:val="1001"/>
        </w:numPr>
      </w:pPr>
      <w:hyperlink r:id="rId23">
        <w:r>
          <w:rPr>
            <w:rStyle w:val="Hyperlink"/>
          </w:rPr>
          <w:t xml:space="preserve">04-preprocessing-basics.md</w:t>
        </w:r>
      </w:hyperlink>
      <w:r>
        <w:t xml:space="preserve"> </w:t>
      </w:r>
      <w:r>
        <w:t xml:space="preserve">- normalize data and reduce redundant variables.</w:t>
      </w:r>
    </w:p>
    <w:p>
      <w:pPr>
        <w:pStyle w:val="Compact"/>
        <w:numPr>
          <w:ilvl w:val="0"/>
          <w:numId w:val="1001"/>
        </w:numPr>
      </w:pPr>
      <w:hyperlink r:id="rId24">
        <w:r>
          <w:rPr>
            <w:rStyle w:val="Hyperlink"/>
          </w:rPr>
          <w:t xml:space="preserve">05-baseline-classification.md</w:t>
        </w:r>
      </w:hyperlink>
      <w:r>
        <w:t xml:space="preserve"> </w:t>
      </w:r>
      <w:r>
        <w:t xml:space="preserve">- start with a baseline before trying stronger learners.</w:t>
      </w:r>
    </w:p>
    <w:p>
      <w:pPr>
        <w:pStyle w:val="Compact"/>
        <w:numPr>
          <w:ilvl w:val="0"/>
          <w:numId w:val="1001"/>
        </w:numPr>
      </w:pPr>
      <w:hyperlink r:id="rId25">
        <w:r>
          <w:rPr>
            <w:rStyle w:val="Hyperlink"/>
          </w:rPr>
          <w:t xml:space="preserve">06-metrics-and-evaluation.md</w:t>
        </w:r>
      </w:hyperlink>
      <w:r>
        <w:t xml:space="preserve"> </w:t>
      </w:r>
      <w:r>
        <w:t xml:space="preserve">- read classification results with more care and connect metrics to model behavior.</w:t>
      </w:r>
    </w:p>
    <w:p>
      <w:pPr>
        <w:pStyle w:val="Compact"/>
        <w:numPr>
          <w:ilvl w:val="0"/>
          <w:numId w:val="1001"/>
        </w:numPr>
      </w:pPr>
      <w:hyperlink r:id="rId26">
        <w:r>
          <w:rPr>
            <w:rStyle w:val="Hyperlink"/>
          </w:rPr>
          <w:t xml:space="preserve">07-model-comparison.md</w:t>
        </w:r>
      </w:hyperlink>
      <w:r>
        <w:t xml:space="preserve"> </w:t>
      </w:r>
      <w:r>
        <w:t xml:space="preserve">- compare different learners under the same split and evaluation protocol.</w:t>
      </w:r>
    </w:p>
    <w:p>
      <w:pPr>
        <w:pStyle w:val="Compact"/>
        <w:numPr>
          <w:ilvl w:val="0"/>
          <w:numId w:val="1001"/>
        </w:numPr>
      </w:pPr>
      <w:hyperlink r:id="rId27">
        <w:r>
          <w:rPr>
            <w:rStyle w:val="Hyperlink"/>
          </w:rPr>
          <w:t xml:space="preserve">08-tuning-workflow.md</w:t>
        </w:r>
      </w:hyperlink>
      <w:r>
        <w:t xml:space="preserve"> </w:t>
      </w:r>
      <w:r>
        <w:t xml:space="preserve">- use hyperparameter search in a controlled way.</w:t>
      </w:r>
    </w:p>
    <w:p>
      <w:pPr>
        <w:pStyle w:val="Compact"/>
        <w:numPr>
          <w:ilvl w:val="0"/>
          <w:numId w:val="1001"/>
        </w:numPr>
      </w:pPr>
      <w:hyperlink r:id="rId28">
        <w:r>
          <w:rPr>
            <w:rStyle w:val="Hyperlink"/>
          </w:rPr>
          <w:t xml:space="preserve">09-end-to-end-classification-pipeline.md</w:t>
        </w:r>
      </w:hyperlink>
      <w:r>
        <w:t xml:space="preserve"> </w:t>
      </w:r>
      <w:r>
        <w:t xml:space="preserve">- connect preparation, modeling, and evaluation in one complete classification flow.</w:t>
      </w:r>
    </w:p>
    <w:p>
      <w:pPr>
        <w:pStyle w:val="Compact"/>
        <w:numPr>
          <w:ilvl w:val="0"/>
          <w:numId w:val="1001"/>
        </w:numPr>
      </w:pPr>
      <w:hyperlink r:id="rId29">
        <w:r>
          <w:rPr>
            <w:rStyle w:val="Hyperlink"/>
          </w:rPr>
          <w:t xml:space="preserve">10-regression-workflow.md</w:t>
        </w:r>
      </w:hyperlink>
      <w:r>
        <w:t xml:space="preserve"> </w:t>
      </w:r>
      <w:r>
        <w:t xml:space="preserve">- transfer the same workflow to numeric prediction.</w:t>
      </w:r>
    </w:p>
    <w:p>
      <w:pPr>
        <w:pStyle w:val="Compact"/>
        <w:numPr>
          <w:ilvl w:val="0"/>
          <w:numId w:val="1001"/>
        </w:numPr>
      </w:pPr>
      <w:hyperlink r:id="rId30">
        <w:r>
          <w:rPr>
            <w:rStyle w:val="Hyperlink"/>
          </w:rPr>
          <w:t xml:space="preserve">11-clustering-workflow.md</w:t>
        </w:r>
      </w:hyperlink>
      <w:r>
        <w:t xml:space="preserve"> </w:t>
      </w:r>
      <w:r>
        <w:t xml:space="preserve">- move to unsupervised learning and study the role of normalization.</w:t>
      </w:r>
    </w:p>
    <w:p>
      <w:pPr>
        <w:pStyle w:val="Compact"/>
        <w:numPr>
          <w:ilvl w:val="0"/>
          <w:numId w:val="1001"/>
        </w:numPr>
      </w:pPr>
      <w:hyperlink r:id="rId31">
        <w:r>
          <w:rPr>
            <w:rStyle w:val="Hyperlink"/>
          </w:rPr>
          <w:t xml:space="preserve">12-visual-analysis-and-reporting.md</w:t>
        </w:r>
      </w:hyperlink>
      <w:r>
        <w:t xml:space="preserve"> </w:t>
      </w:r>
      <w:r>
        <w:t xml:space="preserve">- use plots to understand data and communicate results.</w:t>
      </w:r>
    </w:p>
    <w:p>
      <w:pPr>
        <w:pStyle w:val="Compact"/>
        <w:numPr>
          <w:ilvl w:val="0"/>
          <w:numId w:val="1001"/>
        </w:numPr>
      </w:pPr>
      <w:hyperlink r:id="rId32">
        <w:r>
          <w:rPr>
            <w:rStyle w:val="Hyperlink"/>
          </w:rPr>
          <w:t xml:space="preserve">13-custom-extension.md</w:t>
        </w:r>
      </w:hyperlink>
      <w:r>
        <w:t xml:space="preserve"> </w:t>
      </w:r>
      <w:r>
        <w:t xml:space="preserve">- create a custom learner while preserving the same workflow structure.</w:t>
      </w:r>
    </w:p>
    <w:bookmarkEnd w:id="33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8f8f8"/>
    </w:pPr>
  </w:style>
  <w:style w:type="character" w:customStyle="1" w:styleId="KeywordTok">
    <w:name w:val="KeywordTok"/>
    <w:basedOn w:val="VerbatimChar"/>
    <w:rPr>
      <w:b/>
      <w:color w:val="204a87"/>
      <w:shd w:val="clear" w:fill="f8f8f8"/>
    </w:rPr>
  </w:style>
  <w:style w:type="character" w:customStyle="1" w:styleId="DataTypeTok">
    <w:name w:val="DataTypeTok"/>
    <w:basedOn w:val="VerbatimChar"/>
    <w:rPr>
      <w:color w:val="204a87"/>
      <w:shd w:val="clear" w:fill="f8f8f8"/>
    </w:rPr>
  </w:style>
  <w:style w:type="character" w:customStyle="1" w:styleId="DecValTok">
    <w:name w:val="DecValTok"/>
    <w:basedOn w:val="VerbatimChar"/>
    <w:rPr>
      <w:color w:val="0000cf"/>
      <w:shd w:val="clear" w:fill="f8f8f8"/>
    </w:rPr>
  </w:style>
  <w:style w:type="character" w:customStyle="1" w:styleId="BaseNTok">
    <w:name w:val="BaseNTok"/>
    <w:basedOn w:val="VerbatimChar"/>
    <w:rPr>
      <w:color w:val="0000cf"/>
      <w:shd w:val="clear" w:fill="f8f8f8"/>
    </w:rPr>
  </w:style>
  <w:style w:type="character" w:customStyle="1" w:styleId="FloatTok">
    <w:name w:val="FloatTok"/>
    <w:basedOn w:val="VerbatimChar"/>
    <w:rPr>
      <w:color w:val="0000cf"/>
      <w:shd w:val="clear" w:fill="f8f8f8"/>
    </w:rPr>
  </w:style>
  <w:style w:type="character" w:customStyle="1" w:styleId="ConstantTok">
    <w:name w:val="ConstantTok"/>
    <w:basedOn w:val="VerbatimChar"/>
    <w:rPr>
      <w:color w:val="8f5902"/>
      <w:shd w:val="clear" w:fill="f8f8f8"/>
    </w:rPr>
  </w:style>
  <w:style w:type="character" w:customStyle="1" w:styleId="CharTok">
    <w:name w:val="CharTok"/>
    <w:basedOn w:val="VerbatimChar"/>
    <w:rPr>
      <w:color w:val="4e9a06"/>
      <w:shd w:val="clear" w:fill="f8f8f8"/>
    </w:rPr>
  </w:style>
  <w:style w:type="character" w:customStyle="1" w:styleId="SpecialCharTok">
    <w:name w:val="SpecialCharTok"/>
    <w:basedOn w:val="VerbatimChar"/>
    <w:rPr>
      <w:b/>
      <w:color w:val="ce5c00"/>
      <w:shd w:val="clear" w:fill="f8f8f8"/>
    </w:rPr>
  </w:style>
  <w:style w:type="character" w:customStyle="1" w:styleId="StringTok">
    <w:name w:val="StringTok"/>
    <w:basedOn w:val="VerbatimChar"/>
    <w:rPr>
      <w:color w:val="4e9a06"/>
      <w:shd w:val="clear" w:fill="f8f8f8"/>
    </w:rPr>
  </w:style>
  <w:style w:type="character" w:customStyle="1" w:styleId="VerbatimStringTok">
    <w:name w:val="VerbatimStringTok"/>
    <w:basedOn w:val="VerbatimChar"/>
    <w:rPr>
      <w:color w:val="4e9a06"/>
      <w:shd w:val="clear" w:fill="f8f8f8"/>
    </w:rPr>
  </w:style>
  <w:style w:type="character" w:customStyle="1" w:styleId="SpecialStringTok">
    <w:name w:val="SpecialStringTok"/>
    <w:basedOn w:val="VerbatimChar"/>
    <w:rPr>
      <w:color w:val="4e9a06"/>
      <w:shd w:val="clear" w:fill="f8f8f8"/>
    </w:rPr>
  </w:style>
  <w:style w:type="character" w:customStyle="1" w:styleId="ImportTok">
    <w:name w:val="ImportTok"/>
    <w:basedOn w:val="VerbatimChar"/>
    <w:rPr>
      <w:shd w:val="clear" w:fill="f8f8f8"/>
    </w:rPr>
  </w:style>
  <w:style w:type="character" w:customStyle="1" w:styleId="CommentTok">
    <w:name w:val="CommentTok"/>
    <w:basedOn w:val="VerbatimChar"/>
    <w:rPr>
      <w:i/>
      <w:color w:val="8f5902"/>
      <w:shd w:val="clear" w:fill="f8f8f8"/>
    </w:rPr>
  </w:style>
  <w:style w:type="character" w:customStyle="1" w:styleId="DocumentationTok">
    <w:name w:val="DocumentationTok"/>
    <w:basedOn w:val="VerbatimChar"/>
    <w:rPr>
      <w:b/>
      <w:i/>
      <w:color w:val="8f5902"/>
      <w:shd w:val="clear" w:fill="f8f8f8"/>
    </w:rPr>
  </w:style>
  <w:style w:type="character" w:customStyle="1" w:styleId="AnnotationTok">
    <w:name w:val="AnnotationTok"/>
    <w:basedOn w:val="VerbatimChar"/>
    <w:rPr>
      <w:b/>
      <w:i/>
      <w:color w:val="8f5902"/>
      <w:shd w:val="clear" w:fill="f8f8f8"/>
    </w:rPr>
  </w:style>
  <w:style w:type="character" w:customStyle="1" w:styleId="CommentVarTok">
    <w:name w:val="CommentVarTok"/>
    <w:basedOn w:val="VerbatimChar"/>
    <w:rPr>
      <w:b/>
      <w:i/>
      <w:color w:val="8f5902"/>
      <w:shd w:val="clear" w:fill="f8f8f8"/>
    </w:rPr>
  </w:style>
  <w:style w:type="character" w:customStyle="1" w:styleId="OtherTok">
    <w:name w:val="OtherTok"/>
    <w:basedOn w:val="VerbatimChar"/>
    <w:rPr>
      <w:color w:val="8f5902"/>
      <w:shd w:val="clear" w:fill="f8f8f8"/>
    </w:rPr>
  </w:style>
  <w:style w:type="character" w:customStyle="1" w:styleId="FunctionTok">
    <w:name w:val="FunctionTok"/>
    <w:basedOn w:val="VerbatimChar"/>
    <w:rPr>
      <w:b/>
      <w:color w:val="204a87"/>
      <w:shd w:val="clear" w:fill="f8f8f8"/>
    </w:rPr>
  </w:style>
  <w:style w:type="character" w:customStyle="1" w:styleId="VariableTok">
    <w:name w:val="VariableTok"/>
    <w:basedOn w:val="VerbatimChar"/>
    <w:rPr>
      <w:color w:val="000000"/>
      <w:shd w:val="clear" w:fill="f8f8f8"/>
    </w:rPr>
  </w:style>
  <w:style w:type="character" w:customStyle="1" w:styleId="ControlFlowTok">
    <w:name w:val="ControlFlowTok"/>
    <w:basedOn w:val="VerbatimChar"/>
    <w:rPr>
      <w:b/>
      <w:color w:val="204a87"/>
      <w:shd w:val="clear" w:fill="f8f8f8"/>
    </w:rPr>
  </w:style>
  <w:style w:type="character" w:customStyle="1" w:styleId="OperatorTok">
    <w:name w:val="OperatorTok"/>
    <w:basedOn w:val="VerbatimChar"/>
    <w:rPr>
      <w:b/>
      <w:color w:val="ce5c00"/>
      <w:shd w:val="clear" w:fill="f8f8f8"/>
    </w:rPr>
  </w:style>
  <w:style w:type="character" w:customStyle="1" w:styleId="BuiltInTok">
    <w:name w:val="BuiltInTok"/>
    <w:basedOn w:val="VerbatimChar"/>
    <w:rPr>
      <w:shd w:val="clear" w:fill="f8f8f8"/>
    </w:rPr>
  </w:style>
  <w:style w:type="character" w:customStyle="1" w:styleId="ExtensionTok">
    <w:name w:val="ExtensionTok"/>
    <w:basedOn w:val="VerbatimChar"/>
    <w:rPr>
      <w:shd w:val="clear" w:fill="f8f8f8"/>
    </w:rPr>
  </w:style>
  <w:style w:type="character" w:customStyle="1" w:styleId="PreprocessorTok">
    <w:name w:val="PreprocessorTok"/>
    <w:basedOn w:val="VerbatimChar"/>
    <w:rPr>
      <w:i/>
      <w:color w:val="8f5902"/>
      <w:shd w:val="clear" w:fill="f8f8f8"/>
    </w:rPr>
  </w:style>
  <w:style w:type="character" w:customStyle="1" w:styleId="AttributeTok">
    <w:name w:val="AttributeTok"/>
    <w:basedOn w:val="VerbatimChar"/>
    <w:rPr>
      <w:color w:val="204a87"/>
      <w:shd w:val="clear" w:fill="f8f8f8"/>
    </w:rPr>
  </w:style>
  <w:style w:type="character" w:customStyle="1" w:styleId="RegionMarkerTok">
    <w:name w:val="RegionMarkerTok"/>
    <w:basedOn w:val="VerbatimChar"/>
    <w:rPr>
      <w:shd w:val="clear" w:fill="f8f8f8"/>
    </w:rPr>
  </w:style>
  <w:style w:type="character" w:customStyle="1" w:styleId="InformationTok">
    <w:name w:val="InformationTok"/>
    <w:basedOn w:val="VerbatimChar"/>
    <w:rPr>
      <w:b/>
      <w:i/>
      <w:color w:val="8f5902"/>
      <w:shd w:val="clear" w:fill="f8f8f8"/>
    </w:rPr>
  </w:style>
  <w:style w:type="character" w:customStyle="1" w:styleId="WarningTok">
    <w:name w:val="WarningTok"/>
    <w:basedOn w:val="VerbatimChar"/>
    <w:rPr>
      <w:b/>
      <w:i/>
      <w:color w:val="8f5902"/>
      <w:shd w:val="clear" w:fill="f8f8f8"/>
    </w:rPr>
  </w:style>
  <w:style w:type="character" w:customStyle="1" w:styleId="AlertTok">
    <w:name w:val="AlertTok"/>
    <w:basedOn w:val="VerbatimChar"/>
    <w:rPr>
      <w:color w:val="ef2929"/>
      <w:shd w:val="clear" w:fill="f8f8f8"/>
    </w:rPr>
  </w:style>
  <w:style w:type="character" w:customStyle="1" w:styleId="ErrorTok">
    <w:name w:val="ErrorTok"/>
    <w:basedOn w:val="VerbatimChar"/>
    <w:rPr>
      <w:b/>
      <w:color w:val="a40000"/>
      <w:shd w:val="clear" w:fill="f8f8f8"/>
    </w:rPr>
  </w:style>
  <w:style w:type="character" w:customStyle="1" w:styleId="NormalTok">
    <w:name w:val="NormalTok"/>
    <w:basedOn w:val="VerbatimChar"/>
    <w:rPr>
      <w:shd w:val="clear" w:fill="f8f8f8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20" Target="/examples/tutorial/01-first-experiment.md" TargetMode="External" /><Relationship Type="http://schemas.openxmlformats.org/officeDocument/2006/relationships/hyperlink" Id="rId21" Target="/examples/tutorial/02-sampling-strategy.md" TargetMode="External" /><Relationship Type="http://schemas.openxmlformats.org/officeDocument/2006/relationships/hyperlink" Id="rId22" Target="/examples/tutorial/03-data-quality-and-cleaning.md" TargetMode="External" /><Relationship Type="http://schemas.openxmlformats.org/officeDocument/2006/relationships/hyperlink" Id="rId23" Target="/examples/tutorial/04-preprocessing-basics.md" TargetMode="External" /><Relationship Type="http://schemas.openxmlformats.org/officeDocument/2006/relationships/hyperlink" Id="rId24" Target="/examples/tutorial/05-baseline-classification.md" TargetMode="External" /><Relationship Type="http://schemas.openxmlformats.org/officeDocument/2006/relationships/hyperlink" Id="rId25" Target="/examples/tutorial/06-metrics-and-evaluation.md" TargetMode="External" /><Relationship Type="http://schemas.openxmlformats.org/officeDocument/2006/relationships/hyperlink" Id="rId26" Target="/examples/tutorial/07-model-comparison.md" TargetMode="External" /><Relationship Type="http://schemas.openxmlformats.org/officeDocument/2006/relationships/hyperlink" Id="rId27" Target="/examples/tutorial/08-tuning-workflow.md" TargetMode="External" /><Relationship Type="http://schemas.openxmlformats.org/officeDocument/2006/relationships/hyperlink" Id="rId28" Target="/examples/tutorial/09-end-to-end-classification-pipeline.md" TargetMode="External" /><Relationship Type="http://schemas.openxmlformats.org/officeDocument/2006/relationships/hyperlink" Id="rId29" Target="/examples/tutorial/10-regression-workflow.md" TargetMode="External" /><Relationship Type="http://schemas.openxmlformats.org/officeDocument/2006/relationships/hyperlink" Id="rId30" Target="/examples/tutorial/11-clustering-workflow.md" TargetMode="External" /><Relationship Type="http://schemas.openxmlformats.org/officeDocument/2006/relationships/hyperlink" Id="rId31" Target="/examples/tutorial/12-visual-analysis-and-reporting.md" TargetMode="External" /><Relationship Type="http://schemas.openxmlformats.org/officeDocument/2006/relationships/hyperlink" Id="rId32" Target="/examples/tutorial/13-custom-extension.m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0" Target="/examples/tutorial/01-first-experiment.md" TargetMode="External" /><Relationship Type="http://schemas.openxmlformats.org/officeDocument/2006/relationships/hyperlink" Id="rId21" Target="/examples/tutorial/02-sampling-strategy.md" TargetMode="External" /><Relationship Type="http://schemas.openxmlformats.org/officeDocument/2006/relationships/hyperlink" Id="rId22" Target="/examples/tutorial/03-data-quality-and-cleaning.md" TargetMode="External" /><Relationship Type="http://schemas.openxmlformats.org/officeDocument/2006/relationships/hyperlink" Id="rId23" Target="/examples/tutorial/04-preprocessing-basics.md" TargetMode="External" /><Relationship Type="http://schemas.openxmlformats.org/officeDocument/2006/relationships/hyperlink" Id="rId24" Target="/examples/tutorial/05-baseline-classification.md" TargetMode="External" /><Relationship Type="http://schemas.openxmlformats.org/officeDocument/2006/relationships/hyperlink" Id="rId25" Target="/examples/tutorial/06-metrics-and-evaluation.md" TargetMode="External" /><Relationship Type="http://schemas.openxmlformats.org/officeDocument/2006/relationships/hyperlink" Id="rId26" Target="/examples/tutorial/07-model-comparison.md" TargetMode="External" /><Relationship Type="http://schemas.openxmlformats.org/officeDocument/2006/relationships/hyperlink" Id="rId27" Target="/examples/tutorial/08-tuning-workflow.md" TargetMode="External" /><Relationship Type="http://schemas.openxmlformats.org/officeDocument/2006/relationships/hyperlink" Id="rId28" Target="/examples/tutorial/09-end-to-end-classification-pipeline.md" TargetMode="External" /><Relationship Type="http://schemas.openxmlformats.org/officeDocument/2006/relationships/hyperlink" Id="rId29" Target="/examples/tutorial/10-regression-workflow.md" TargetMode="External" /><Relationship Type="http://schemas.openxmlformats.org/officeDocument/2006/relationships/hyperlink" Id="rId30" Target="/examples/tutorial/11-clustering-workflow.md" TargetMode="External" /><Relationship Type="http://schemas.openxmlformats.org/officeDocument/2006/relationships/hyperlink" Id="rId31" Target="/examples/tutorial/12-visual-analysis-and-reporting.md" TargetMode="External" /><Relationship Type="http://schemas.openxmlformats.org/officeDocument/2006/relationships/hyperlink" Id="rId32" Target="/examples/tutorial/13-custom-extension.md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2026-03-14T13:49:49Z</dcterms:created>
  <dcterms:modified xsi:type="dcterms:W3CDTF">2026-03-14T13:49:49Z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