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explanatory variables to separate classes, yielding an interpretable model.</w:t>
      </w:r>
    </w:p>
    <w:p>
      <w:pPr>
        <w:pStyle w:val="BodyText"/>
      </w:pPr>
      <w:r>
        <w:t xml:space="preserve">Didactic goal: keep exactly the same classification line of experiment introduced by the baseline and change only the learner to an interpretable supervised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structure is unchanged from the baseline example.</w:t>
      </w:r>
      <w:r>
        <w:t xml:space="preserve"> </w:t>
      </w:r>
      <w:r>
        <w:t xml:space="preserve">- The difference now is that the learner can express feature-based decision rules instead of only the majority class.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2026-05-14T03:20:58Z</dcterms:created>
  <dcterms:modified xsi:type="dcterms:W3CDTF">2026-05-14T03:20:58Z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