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reg_dtree</w:t>
      </w:r>
      <w:r>
        <w:t xml:space="preserve">: decision tree for regression. Partitions feature space and predicts numeric values by leaf means.</w:t>
      </w:r>
    </w:p>
    <w:p>
      <w:pPr>
        <w:pStyle w:val="BodyText"/>
      </w:pPr>
      <w:r>
        <w:t xml:space="preserve">Didactic goal: establish the standard regression line of experiment used throughout this family of examples.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R2</w:t>
      </w:r>
      <w:r>
        <w:br/>
      </w:r>
      <w:r>
        <w:rPr>
          <w:rStyle w:val="VerbatimChar"/>
        </w:rPr>
        <w:t xml:space="preserve">## 1 15.68278 0.1408692 0.80291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19.02943 0.1689264 0.8146707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regression workflow already has the same structural rhythm as classification.</w:t>
      </w:r>
      <w:r>
        <w:t xml:space="preserve"> </w:t>
      </w:r>
      <w:r>
        <w:t xml:space="preserve">- What changes is the target type and the interpretation of the evaluation metrics.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2026-05-14T03:21:56Z</dcterms:created>
  <dcterms:modified xsi:type="dcterms:W3CDTF">2026-05-14T03:21:56Z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