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nstance-based-examples"/>
    <w:p>
      <w:pPr>
        <w:pStyle w:val="Heading1"/>
      </w:pPr>
      <w:r>
        <w:t xml:space="preserve">Instance-Based Examples</w:t>
      </w:r>
    </w:p>
    <w:p>
      <w:pPr>
        <w:pStyle w:val="FirstParagraph"/>
      </w:pPr>
      <w:r>
        <w:t xml:space="preserve">Classifiers that make decisions based on proximity between examples in the feature space.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d043_classification_knn.pdf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10-instance-based-knn.md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cla_knn</w:t>
      </w:r>
      <w:r>
        <w:t xml:space="preserve">: classifies by the majority vote of the nearest neighbors.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classification/knn/10-instance-based-knn.md" TargetMode="External" /><Relationship Type="http://schemas.openxmlformats.org/officeDocument/2006/relationships/hyperlink" Id="rId9" Target="https://github.com/cefet-rj-dal/daltoolbox/blob/main/examples/pdf/d043_classification_kn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classification/knn/10-instance-based-knn.md" TargetMode="External" /><Relationship Type="http://schemas.openxmlformats.org/officeDocument/2006/relationships/hyperlink" Id="rId9" Target="https://github.com/cefet-rj-dal/daltoolbox/blob/main/examples/pdf/d043_classification_kn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2026-09-20T21:02:09Z</dcterms:created>
  <dcterms:modified xsi:type="dcterms:W3CDTF">2026-09-20T21:02:09Z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