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model-selection-examples"/>
    <w:p>
      <w:pPr>
        <w:pStyle w:val="Heading1"/>
      </w:pPr>
      <w:r>
        <w:t xml:space="preserve">Model Selection Examples</w:t>
      </w:r>
    </w:p>
    <w:p>
      <w:pPr>
        <w:pStyle w:val="FirstParagraph"/>
      </w:pPr>
      <w:r>
        <w:t xml:space="preserve">This block isolates hyperparameter search from the learner-introduction examples.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d048_classification_model-selection.pdf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20-model-selection-tuning.md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searches hyperparameter ranges while preserving the same Experiment Line workflow.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classification/model-selection/20-model-selection-tuning.md" TargetMode="External" /><Relationship Type="http://schemas.openxmlformats.org/officeDocument/2006/relationships/hyperlink" Id="rId9" Target="https://github.com/cefet-rj-dal/daltoolbox/blob/main/examples/pdf/d048_classification_model-selectio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classification/model-selection/20-model-selection-tuning.md" TargetMode="External" /><Relationship Type="http://schemas.openxmlformats.org/officeDocument/2006/relationships/hyperlink" Id="rId9" Target="https://github.com/cefet-rj-dal/daltoolbox/blob/main/examples/pdf/d048_classification_model-selectio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2026-09-20T21:02:14Z</dcterms:created>
  <dcterms:modified xsi:type="dcterms:W3CDTF">2026-09-20T21:02:14Z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