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cla_multinom</w:t>
      </w:r>
      <w:r>
        <w:t xml:space="preserve">: multinomial logistic regression for multiclass classification.</w:t>
      </w:r>
    </w:p>
    <w:p>
      <w:pPr>
        <w:pStyle w:val="BodyText"/>
      </w:pPr>
      <w:r>
        <w:t xml:space="preserve">Didactic goal: keep the multiclass classification line of experiment fixed and show a probabilistic linear model that naturally handles more than two classes.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cla_multinom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0.9916667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same experiment body used for the other multiclass learners still applies.</w:t>
      </w:r>
      <w:r>
        <w:t xml:space="preserve"> </w:t>
      </w:r>
      <w:r>
        <w:t xml:space="preserve">- The method-specific difference is probabilistic multiclass modeling, not a different workflow.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Hastie, T., Tibshirani, R., and Friedman, J. (2009). The Elements of Statistical Learning.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2026-09-20T21:02:16Z</dcterms:created>
  <dcterms:modified xsi:type="dcterms:W3CDTF">2026-09-20T21:02:16Z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