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argin-based-classifiers-examples"/>
    <w:p>
      <w:pPr>
        <w:pStyle w:val="Heading1"/>
      </w:pPr>
      <w:r>
        <w:t xml:space="preserve">Margin-Based Classifiers Examples</w:t>
      </w:r>
    </w:p>
    <w:p>
      <w:pPr>
        <w:pStyle w:val="FirstParagraph"/>
      </w:pPr>
      <w:r>
        <w:t xml:space="preserve">Classifiers that seek the optimal separating hyperplane between classes, maximizing the margin between support examples.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d046_classification_svm.pdf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13-margin-svm.md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margin-based class separation.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svm/13-margin-svm.md" TargetMode="External" /><Relationship Type="http://schemas.openxmlformats.org/officeDocument/2006/relationships/hyperlink" Id="rId9" Target="https://github.com/cefet-rj-dal/daltoolbox/blob/main/examples/pdf/d046_classification_sv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svm/13-margin-svm.md" TargetMode="External" /><Relationship Type="http://schemas.openxmlformats.org/officeDocument/2006/relationships/hyperlink" Id="rId9" Target="https://github.com/cefet-rj-dal/daltoolbox/blob/main/examples/pdf/d046_classification_sv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2026-09-20T21:02:17Z</dcterms:created>
  <dcterms:modified xsi:type="dcterms:W3CDTF">2026-09-20T21:02:17Z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