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density-based-clustering-examples"/>
    <w:p>
      <w:pPr>
        <w:pStyle w:val="Heading1"/>
      </w:pPr>
      <w:r>
        <w:t xml:space="preserve">Density-Based Clustering Examples</w:t>
      </w:r>
    </w:p>
    <w:p>
      <w:pPr>
        <w:pStyle w:val="FirstParagraph"/>
      </w:pPr>
      <w:r>
        <w:t xml:space="preserve">This block separates methods that detect dense regions from those that force every instance into a centroid or medoid partition.</w:t>
      </w:r>
    </w:p>
    <w:p>
      <w:pPr>
        <w:pStyle w:val="BlockText"/>
      </w:pPr>
      <w:r>
        <w:t xml:space="preserve">Slide deck:</w:t>
      </w:r>
      <w:r>
        <w:t xml:space="preserve"> </w:t>
      </w:r>
      <w:hyperlink r:id="rId9">
        <w:r>
          <w:rPr>
            <w:rStyle w:val="Hyperlink"/>
          </w:rPr>
          <w:t xml:space="preserve">d062_clustering_density.pdf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10-density-dbscan.md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clu_dbscan</w:t>
      </w:r>
      <w:r>
        <w:t xml:space="preserve">: groups dense neighborhoods and can leave noise points unassigned.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/examples/clustering/density/10-density-dbscan.md" TargetMode="External" /><Relationship Type="http://schemas.openxmlformats.org/officeDocument/2006/relationships/hyperlink" Id="rId9" Target="https://github.com/cefet-rj-dal/daltoolbox/blob/main/examples/pdf/d062_clustering_density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/examples/clustering/density/10-density-dbscan.md" TargetMode="External" /><Relationship Type="http://schemas.openxmlformats.org/officeDocument/2006/relationships/hyperlink" Id="rId9" Target="https://github.com/cefet-rj-dal/daltoolbox/blob/main/examples/pdf/d062_clustering_density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2026-09-20T21:02:19Z</dcterms:created>
  <dcterms:modified xsi:type="dcterms:W3CDTF">2026-09-20T21:02:19Z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