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selects hyperparameters for a clustering method.</w:t>
      </w:r>
      <w:r>
        <w:t xml:space="preserve"> </w:t>
      </w:r>
      <w:r>
        <w:t xml:space="preserve">- In this example the tuned base model is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.</w:t>
      </w:r>
    </w:p>
    <w:p>
      <w:pPr>
        <w:pStyle w:val="BodyText"/>
      </w:pPr>
      <w:r>
        <w:t xml:space="preserve">Didactic goal: preserve the same clustering line of experiment and treat tuning as a change in configuration rather than as a different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 and tuning setup. Here the example intentionally customizes the evaluation lists to keep tuning centered on one internal metric (</w:t>
      </w:r>
      <w:r>
        <w:rPr>
          <w:rStyle w:val="VerbatimChar"/>
        </w:rPr>
        <w:t xml:space="preserve">silhouette</w:t>
      </w:r>
      <w:r>
        <w:t xml:space="preserve">) and one external reference metric (</w:t>
      </w:r>
      <w:r>
        <w:rPr>
          <w:rStyle w:val="VerbatimChar"/>
        </w:rPr>
        <w:t xml:space="preserve">entropy</w:t>
      </w:r>
      <w:r>
        <w:t xml:space="preserve">). This is a didactic simplification, not a requirement of clustering workflows. The motivation is to tune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against a compact internal criterion of cohesion/separation while still reporting an external interpretation score against</w:t>
      </w:r>
      <w:r>
        <w:t xml:space="preserve"> </w:t>
      </w:r>
      <w:r>
        <w:rPr>
          <w:rStyle w:val="VerbatimChar"/>
        </w:rPr>
        <w:t xml:space="preserve">iris$Species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base_model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selector_best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(base_model,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Fit the tuned model and inspect the selected configuration.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Generate cluster labels with the selected configuration.</w:t>
      </w:r>
    </w:p>
    <w:p>
      <w:pPr>
        <w:pStyle w:val="SourceCode"/>
      </w:pP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</w:t>
      </w:r>
      <w:r>
        <w:br/>
      </w:r>
      <w:r>
        <w:rPr>
          <w:rStyle w:val="VerbatimChar"/>
        </w:rPr>
        <w:t xml:space="preserve">## 97 53</w:t>
      </w:r>
    </w:p>
    <w:p>
      <w:pPr>
        <w:pStyle w:val="FirstParagraph"/>
      </w:pPr>
      <w:r>
        <w:t xml:space="preserve">Evaluate the tuned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2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0.999    97 0.646</w:t>
      </w:r>
      <w:r>
        <w:br/>
      </w:r>
      <w:r>
        <w:rPr>
          <w:rStyle w:val="VerbatimChar"/>
        </w:rPr>
        <w:t xml:space="preserve">## 2 2     0.314    53 0.111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0.757101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0.6810462 maximize internal</w:t>
      </w:r>
      <w:r>
        <w:br/>
      </w:r>
      <w:r>
        <w:rPr>
          <w:rStyle w:val="VerbatimChar"/>
        </w:rPr>
        <w:t xml:space="preserve">## 2    entropy 0.7571010 minimize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still configure, fit, cluster, and evaluate.</w:t>
      </w:r>
      <w:r>
        <w:t xml:space="preserve"> </w:t>
      </w:r>
      <w:r>
        <w:t xml:space="preserve">- Tuning changes how the clustering configuration is chosen, not how the experiment is read.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and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Haystack.</w:t>
      </w:r>
      <w:r>
        <w:t xml:space="preserve"> </w:t>
      </w:r>
      <w:r>
        <w:t xml:space="preserve">- Rousseeuw, P. J. (1987). Silhouettes: A graphical aid to the interpretation and validation of cluster analysis.</w:t>
      </w:r>
      <w:r>
        <w:t xml:space="preserve"> </w:t>
      </w:r>
      <w:r>
        <w:t xml:space="preserve">- Shannon, C. E. (1948). A mathematical theory of communication.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2026-09-20T21:02:20Z</dcterms:created>
  <dcterms:modified xsi:type="dcterms:W3CDTF">2026-09-20T21:02:20Z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