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This block separates evaluation customization from hyperparameter search: the first example shows how to change metric lists explicitly, the second uses those ideas inside the tuning workflow.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d064_clustering_model-selection.pdf</w:t>
        </w:r>
      </w:hyperlink>
      <w:r>
        <w:t xml:space="preserve"> </w:t>
      </w:r>
      <w:r>
        <w:t xml:space="preserve">— draft, auto-generated from Markdown source; pending a proper presentation design.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model-selection/19-custom-evaluation.md" TargetMode="External" /><Relationship Type="http://schemas.openxmlformats.org/officeDocument/2006/relationships/hyperlink" Id="rId11" Target="/examples/clustering/model-selection/20-model-selection-tuning.md" TargetMode="External" /><Relationship Type="http://schemas.openxmlformats.org/officeDocument/2006/relationships/hyperlink" Id="rId9" Target="https://github.com/cefet-rj-dal/daltoolbox/blob/main/examples/pdf/d064_clustering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model-selection/19-custom-evaluation.md" TargetMode="External" /><Relationship Type="http://schemas.openxmlformats.org/officeDocument/2006/relationships/hyperlink" Id="rId11" Target="/examples/clustering/model-selection/20-model-selection-tuning.md" TargetMode="External" /><Relationship Type="http://schemas.openxmlformats.org/officeDocument/2006/relationships/hyperlink" Id="rId9" Target="https://github.com/cefet-rj-dal/daltoolbox/blob/main/examples/pdf/d064_clustering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2026-09-20T21:02:21Z</dcterms:created>
  <dcterms:modified xsi:type="dcterms:W3CDTF">2026-09-20T21:02:21Z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