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ttern-miner-base"/>
    <w:p>
      <w:pPr>
        <w:pStyle w:val="Heading2"/>
      </w:pPr>
      <w:r>
        <w:t xml:space="preserve">Pattern Miner Base</w:t>
      </w:r>
    </w:p>
    <w:p>
      <w:pPr>
        <w:pStyle w:val="FirstParagraph"/>
      </w:pPr>
      <w:r>
        <w:t xml:space="preserve">This example documents</w:t>
      </w:r>
      <w:r>
        <w:t xml:space="preserve"> </w:t>
      </w:r>
      <w:r>
        <w:rPr>
          <w:rStyle w:val="VerbatimChar"/>
        </w:rPr>
        <w:t xml:space="preserve">pattern_miner</w:t>
      </w:r>
      <w:r>
        <w:t xml:space="preserve"> </w:t>
      </w:r>
      <w:r>
        <w:t xml:space="preserve">as the common contract behind the pattern-discovery learners. Unlike the algorithm-specific examples, the goal here is not to discover patterns, but to inspect the slots and workflow expectations shared by</w:t>
      </w:r>
      <w:r>
        <w:t xml:space="preserve"> </w:t>
      </w:r>
      <w:r>
        <w:rPr>
          <w:rStyle w:val="VerbatimChar"/>
        </w:rPr>
        <w:t xml:space="preserve">pat_apriori</w:t>
      </w:r>
      <w:r>
        <w:t xml:space="preserve">,</w:t>
      </w:r>
      <w:r>
        <w:t xml:space="preserve"> </w:t>
      </w:r>
      <w:r>
        <w:rPr>
          <w:rStyle w:val="VerbatimChar"/>
        </w:rPr>
        <w:t xml:space="preserve">pat_eclat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pat_cspade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miner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pattern_miner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(miner)</w:t>
      </w:r>
    </w:p>
    <w:p>
      <w:pPr>
        <w:pStyle w:val="SourceCode"/>
      </w:pPr>
      <w:r>
        <w:rPr>
          <w:rStyle w:val="VerbatimChar"/>
        </w:rPr>
        <w:t xml:space="preserve">## [1] "pattern_miner" "dal_learner"   "dal_base"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(miner)</w:t>
      </w:r>
    </w:p>
    <w:p>
      <w:pPr>
        <w:pStyle w:val="SourceCode"/>
      </w:pPr>
      <w:r>
        <w:rPr>
          <w:rStyle w:val="VerbatimChar"/>
        </w:rPr>
        <w:t xml:space="preserve">## [1] "fitted"       "pat_utils"    "rule_filter"  "eval_metrics" "pattern_kind"</w:t>
      </w:r>
    </w:p>
    <w:p>
      <w:pPr>
        <w:pStyle w:val="SourceCode"/>
      </w:pPr>
      <w:r>
        <w:rPr>
          <w:rStyle w:val="NormalTok"/>
        </w:rPr>
        <w:t xml:space="preserve">miner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pattern_kind</w:t>
      </w:r>
    </w:p>
    <w:p>
      <w:pPr>
        <w:pStyle w:val="SourceCode"/>
      </w:pPr>
      <w:r>
        <w:rPr>
          <w:rStyle w:val="VerbatimChar"/>
        </w:rPr>
        <w:t xml:space="preserve">## [1] "patterns"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Pattern miners revolve around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.</w:t>
      </w:r>
      <w:r>
        <w:t xml:space="preserve"> </w:t>
      </w:r>
      <w:r>
        <w:t xml:space="preserve">- Algorithm-specific constructors mostly specialize filtering, engine configuration, and quality summaries on top of this base object.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2026-09-20T21:02:25Z</dcterms:created>
  <dcterms:modified xsi:type="dcterms:W3CDTF">2026-09-20T21:02:25Z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