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cla_glmnet</w:t>
      </w:r>
      <w:r>
        <w:t xml:space="preserve">: L1-regularized logistic regression for binary classification.</w:t>
      </w:r>
    </w:p>
    <w:p>
      <w:pPr>
        <w:pStyle w:val="BodyText"/>
      </w:pPr>
      <w:r>
        <w:t xml:space="preserve">Didactic goal: keep the same binary classification line of experiment used for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 </w:t>
      </w:r>
      <w:r>
        <w:t xml:space="preserve">and change only the learner and its regularization choice.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"glmnet"))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0.9416667 77 36  4  3 0.9506173 0.9625      0.9625         0.9 0.9565217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0.9333333 18 10  0  2         1    0.9         0.9           1 0.9473684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binary experiment structure is unchanged from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.</w:t>
      </w:r>
      <w:r>
        <w:t xml:space="preserve"> </w:t>
      </w:r>
      <w:r>
        <w:t xml:space="preserve">- The key method-specific choice is how the penalized solution is selected through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Friedman, J., Hastie, T., and Tibshirani, R. (2010). Regularization Paths for Generalized Linear Models via Coordinate Descent.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2026-05-13T17:30:33Z</dcterms:created>
  <dcterms:modified xsi:type="dcterms:W3CDTF">2026-05-13T17:30:33Z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