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cla_xgboost</w:t>
      </w:r>
      <w:r>
        <w:t xml:space="preserve">: gradient boosting classifier using the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 </w:t>
      </w:r>
      <w:r>
        <w:t xml:space="preserve">backend.</w:t>
      </w:r>
    </w:p>
    <w:p>
      <w:pPr>
        <w:pStyle w:val="BodyText"/>
      </w:pPr>
      <w:r>
        <w:t xml:space="preserve">Didactic goal: keep the multiclass classification line of experiment fixed and show how a more configurable boosting engine still fits the same DAL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"xgboost"))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cla_xgboost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nthread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nrounds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  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  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  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  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experiment body is the same as in the other multiclass classification examples.</w:t>
      </w:r>
      <w:r>
        <w:t xml:space="preserve"> </w:t>
      </w:r>
      <w:r>
        <w:t xml:space="preserve">- The method-specific change is in the boosting engine and its configuration, not in the workflow.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Chen, T., and Guestrin, C. (2016). XGBoost: A Scalable Tree Boosting System.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2026-05-13T17:30:41Z</dcterms:created>
  <dcterms:modified xsi:type="dcterms:W3CDTF">2026-05-13T17:30:41Z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