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reg_rf</w:t>
      </w:r>
      <w:r>
        <w:t xml:space="preserve">: Random Forest for regression.</w:t>
      </w:r>
      <w:r>
        <w:t xml:space="preserve"> </w:t>
      </w:r>
      <w:r>
        <w:t xml:space="preserve">- Main parameters:</w:t>
      </w:r>
      <w:r>
        <w:t xml:space="preserve"> </w:t>
      </w:r>
      <w:r>
        <w:rPr>
          <w:rStyle w:val="VerbatimChar"/>
        </w:rPr>
        <w:t xml:space="preserve">mtry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ntree</w:t>
      </w:r>
      <w:r>
        <w:t xml:space="preserve">.</w:t>
      </w:r>
    </w:p>
    <w:p>
      <w:pPr>
        <w:pStyle w:val="BodyText"/>
      </w:pPr>
      <w:r>
        <w:t xml:space="preserve">Didactic goal: keep the same regression line of experiment and change only the learner to a tree ensemble.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 </w:t>
      </w:r>
      <w:r>
        <w:t xml:space="preserve">and reproducible train/test split.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mtry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1.603413 0.04054869 0.9798495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11.15578 0.1062616 0.8913529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Breiman, L. (2001). Random Forests.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2026-05-13T17:31:38Z</dcterms:created>
  <dcterms:modified xsi:type="dcterms:W3CDTF">2026-05-13T17:31:38Z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