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3---data-quality-and-cleaning"/>
    <w:p>
      <w:pPr>
        <w:pStyle w:val="Heading2"/>
      </w:pPr>
      <w:r>
        <w:t xml:space="preserve">Tutorial 03 - Data Quality and Cleaning</w:t>
      </w:r>
    </w:p>
    <w:p>
      <w:pPr>
        <w:pStyle w:val="FirstParagraph"/>
      </w:pPr>
      <w:r>
        <w:t xml:space="preserve">In real projects, modeling rarely starts on a perfectly clean table. Missing values, unusual observations, and categorical attributes often need attention before the first learner is trained. This tutorial introduces that preparation mindset.</w:t>
      </w:r>
    </w:p>
    <w:p>
      <w:pPr>
        <w:pStyle w:val="BodyText"/>
      </w:pPr>
      <w:r>
        <w:t xml:space="preserve">The purpose is not to exhaust every cleaning strategy, but to show that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treats these steps as explicit workflow operations rather than ad hoc edits.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 small didactic dataset with missing values. A synthetic example is useful here because the effect of cleaning becomes easier to see.</w:t>
      </w:r>
    </w:p>
    <w:p>
      <w:pPr>
        <w:pStyle w:val="SourceCode"/>
      </w:pPr>
      <w:r>
        <w:rPr>
          <w:rStyle w:val="NormalTok"/>
        </w:rPr>
        <w:t xml:space="preserve">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 NA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 NA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 NA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A first simple option is to remove incomplete rows. This is not always the best strategy in practice, but it is an important baseline cleaning operation.</w:t>
      </w:r>
    </w:p>
    <w:p>
      <w:pPr>
        <w:pStyle w:val="SourceCode"/>
      </w:pPr>
      <w:r>
        <w:rPr>
          <w:rStyle w:val="NormalTok"/>
        </w:rPr>
        <w:t xml:space="preserve">small_complete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(small)</w:t>
      </w:r>
      <w:r>
        <w:br/>
      </w:r>
      <w:r>
        <w:rPr>
          <w:rStyle w:val="NormalTok"/>
        </w:rPr>
        <w:t xml:space="preserve">small_complete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When row removal is too aggressive, a basic imputation strategy is often a better baseline.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numeric columns can be imputed with a robust summary such as the median, while categorical columns use the most frequent observed value.</w:t>
      </w:r>
    </w:p>
    <w:p>
      <w:pPr>
        <w:pStyle w:val="SourceCode"/>
      </w:pP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imputation_simple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4.9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3.4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4.9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Now inspect a basic outlier strategy on a numeric attribute. The point is to show that the analyst can explicitly choose how to detect suspicious observations before modeling.</w: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(out, iris)</w:t>
      </w:r>
      <w:r>
        <w:br/>
      </w:r>
      <w:r>
        <w:rPr>
          <w:rStyle w:val="NormalTok"/>
        </w:rPr>
        <w:t xml:space="preserve">outliers_found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(outliers_found)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Categorical attributes may also need transformation before some learners can use them effectively. The next block shows one-hot style mapping on a toy categorical column.</w:t>
      </w:r>
    </w:p>
    <w:p>
      <w:pPr>
        <w:pStyle w:val="SourceCode"/>
      </w:pPr>
      <w:r>
        <w:rPr>
          <w:rStyle w:val="NormalTok"/>
        </w:rPr>
        <w:t xml:space="preserve">cat_data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cat_encoded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(mapper, cat_data)</w:t>
      </w:r>
      <w:r>
        <w:br/>
      </w:r>
      <w:r>
        <w:rPr>
          <w:rStyle w:val="NormalTok"/>
        </w:rPr>
        <w:t xml:space="preserve">cat_encoded</w:t>
      </w:r>
    </w:p>
    <w:p>
      <w:pPr>
        <w:pStyle w:val="SourceCode"/>
      </w:pPr>
      <w:r>
        <w:rPr>
          <w:rStyle w:val="VerbatimChar"/>
        </w:rPr>
        <w:t xml:space="preserve">##   colorblue colorgreen colorred</w:t>
      </w:r>
      <w:r>
        <w:br/>
      </w:r>
      <w:r>
        <w:rPr>
          <w:rStyle w:val="VerbatimChar"/>
        </w:rPr>
        <w:t xml:space="preserve">## 1         0          0        1</w:t>
      </w:r>
      <w:r>
        <w:br/>
      </w:r>
      <w:r>
        <w:rPr>
          <w:rStyle w:val="VerbatimChar"/>
        </w:rPr>
        <w:t xml:space="preserve">## 2         1          0        0</w:t>
      </w:r>
      <w:r>
        <w:br/>
      </w:r>
      <w:r>
        <w:rPr>
          <w:rStyle w:val="VerbatimChar"/>
        </w:rPr>
        <w:t xml:space="preserve">## 3         0          1        0</w:t>
      </w:r>
      <w:r>
        <w:br/>
      </w:r>
      <w:r>
        <w:rPr>
          <w:rStyle w:val="VerbatimChar"/>
        </w:rPr>
        <w:t xml:space="preserve">## 4         0          0        1</w:t>
      </w:r>
    </w:p>
    <w:p>
      <w:pPr>
        <w:pStyle w:val="FirstParagraph"/>
      </w:pPr>
      <w:r>
        <w:t xml:space="preserve">From a teaching perspective, this tutorial matters because many beginners jump directly to modeling. In practice, data quality decisions often shape the experiment before the learner ever sees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2026-05-13T17:32:01Z</dcterms:created>
  <dcterms:modified xsi:type="dcterms:W3CDTF">2026-05-13T17:32:01Z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