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presents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The numbering now leaves semantic gaps so the reader can distinguish preparation tutorials, classification-analysis tutorials, end-to-end workflow transfer, and closing topics such as visual reporting and extension.</w:t>
      </w:r>
    </w:p>
    <w:p>
      <w:pPr>
        <w:pStyle w:val="BodyText"/>
      </w:pPr>
      <w:r>
        <w:t xml:space="preserve">The sequence is cumulative. Each tutorial introduces one main decision in a data mining study, explains why that step matters, and keeps the code close to that learning objective.</w:t>
      </w:r>
    </w:p>
    <w:bookmarkStart w:id="13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the minimum workflow before comparing learners or tuning parameters.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bookmarkEnd w:id="13"/>
    <w:bookmarkStart w:id="18" w:name="classification-study-cycle"/>
    <w:p>
      <w:pPr>
        <w:pStyle w:val="Heading2"/>
      </w:pPr>
      <w:r>
        <w:t xml:space="preserve">Classification Study Cycle</w:t>
      </w:r>
    </w:p>
    <w:p>
      <w:pPr>
        <w:pStyle w:val="FirstParagraph"/>
      </w:pPr>
      <w:r>
        <w:t xml:space="preserve">This block keeps the reader inside one supervised task while varying the analytical question: baseline, metrics, comparison, and tuning.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10-baseline-classification.md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11-metrics-and-evaluation.md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12-model-comparison.md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13-tuning-workflow.md</w:t>
        </w:r>
      </w:hyperlink>
      <w:r>
        <w:t xml:space="preserve"> </w:t>
      </w:r>
      <w:r>
        <w:t xml:space="preserve">- use hyperparameter search in a controlled way.</w:t>
      </w:r>
    </w:p>
    <w:bookmarkEnd w:id="18"/>
    <w:bookmarkStart w:id="22" w:name="workflow-transfer"/>
    <w:p>
      <w:pPr>
        <w:pStyle w:val="Heading2"/>
      </w:pPr>
      <w:r>
        <w:t xml:space="preserve">Workflow Transfer</w:t>
      </w:r>
    </w:p>
    <w:p>
      <w:pPr>
        <w:pStyle w:val="FirstParagraph"/>
      </w:pPr>
      <w:r>
        <w:t xml:space="preserve">These tutorials show how the same experiment logic extends to complete pipelines and to other learning tasks.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20-end-to-end-classification-pipeline.md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21-regression-workflow.md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22-clustering-workflow.md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bookmarkEnd w:id="22"/>
    <w:bookmarkStart w:id="25" w:name="communication-and-extension"/>
    <w:p>
      <w:pPr>
        <w:pStyle w:val="Heading2"/>
      </w:pPr>
      <w:r>
        <w:t xml:space="preserve">Communication and Extension</w:t>
      </w:r>
    </w:p>
    <w:p>
      <w:pPr>
        <w:pStyle w:val="FirstParagraph"/>
      </w:pPr>
      <w:r>
        <w:t xml:space="preserve">Finish with examples that broaden the workflow toward reporting and framework customization.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2026-05-13T17:32:07Z</dcterms:created>
  <dcterms:modified xsi:type="dcterms:W3CDTF">2026-05-13T17:32:07Z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