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is dedicated to one of the most important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: extending the Experiment Line workflow with custom components while preserving the same overall structure.</w:t>
      </w:r>
    </w:p>
    <w:p>
      <w:pPr>
        <w:pStyle w:val="BodyText"/>
      </w:pPr>
      <w:r>
        <w:t xml:space="preserve">The objective here is didactic. These examples show that integrating a new transformation, classifier, regressor, or clusterer does not require changing the framework itself. Instead, the customization is centered on a small and predictable contract: define an object, store its configuration, and implement the expected methods.</w:t>
      </w:r>
    </w:p>
    <w:p>
      <w:pPr>
        <w:pStyle w:val="BodyText"/>
      </w:pPr>
      <w:r>
        <w:t xml:space="preserve">These are good examples for readers who want to understand the extensibility of the package rather than just its built-in methods. A natural reading order is transformation, classification, regression, and then clustering.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custom_transformation.md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smote_custom</w:t>
      </w:r>
      <w:r>
        <w:t xml:space="preserve">: shows how to create a custom transformation with a constructor 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as the concrete example.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custom_classification.md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cla_rsnns_custom</w:t>
      </w:r>
      <w:r>
        <w:t xml:space="preserve">: shows how to create a custom classifier with constructor,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custom_regression.md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reg_rsnns_custom</w:t>
      </w:r>
      <w:r>
        <w:t xml:space="preserve">: shows how to create a custom regressor with constructor,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custom_clustering.md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cluster_agnes_custom</w:t>
      </w:r>
      <w:r>
        <w:t xml:space="preserve">: shows how to create a custom clusterer with constructor,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examples/custom/custom_classification.md" TargetMode="External" /><Relationship Type="http://schemas.openxmlformats.org/officeDocument/2006/relationships/hyperlink" Id="rId23" Target="/examples/custom/custom_clustering.md" TargetMode="External" /><Relationship Type="http://schemas.openxmlformats.org/officeDocument/2006/relationships/hyperlink" Id="rId22" Target="/examples/custom/custom_regression.md" TargetMode="External" /><Relationship Type="http://schemas.openxmlformats.org/officeDocument/2006/relationships/hyperlink" Id="rId20" Target="/examples/custom/custom_transform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examples/custom/custom_classification.md" TargetMode="External" /><Relationship Type="http://schemas.openxmlformats.org/officeDocument/2006/relationships/hyperlink" Id="rId23" Target="/examples/custom/custom_clustering.md" TargetMode="External" /><Relationship Type="http://schemas.openxmlformats.org/officeDocument/2006/relationships/hyperlink" Id="rId22" Target="/examples/custom/custom_regression.md" TargetMode="External" /><Relationship Type="http://schemas.openxmlformats.org/officeDocument/2006/relationships/hyperlink" Id="rId20" Target="/examples/custom/custom_transform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2026-03-11T02:10:47Z</dcterms:created>
  <dcterms:modified xsi:type="dcterms:W3CDTF">2026-03-11T02:10:47Z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