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ustom-regression"/>
    <w:p>
      <w:pPr>
        <w:pStyle w:val="Heading2"/>
      </w:pPr>
      <w:r>
        <w:t xml:space="preserve">Custom Regression</w:t>
      </w:r>
    </w:p>
    <w:p>
      <w:pPr>
        <w:pStyle w:val="FirstParagraph"/>
      </w:pPr>
      <w:r>
        <w:t xml:space="preserve">The primary goal of this example is to show how to build a custom regressor that remains compatible with the same Experiment Line used by the native learners of</w:t>
      </w:r>
      <w:r>
        <w:t xml:space="preserve"> </w:t>
      </w:r>
      <w:r>
        <w:rPr>
          <w:rStyle w:val="VerbatimChar"/>
        </w:rPr>
        <w:t xml:space="preserve">daltoolbox</w:t>
      </w:r>
      <w:r>
        <w:t xml:space="preserve">. The customization procedure is straightforward: define a constructor, keep the hyperparameters inside the object, implement</w:t>
      </w:r>
      <w:r>
        <w:t xml:space="preserve"> </w:t>
      </w:r>
      <w:r>
        <w:rPr>
          <w:rStyle w:val="VerbatimChar"/>
        </w:rPr>
        <w:t xml:space="preserve">fit()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, and then reuse the standard sampling and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steps.</w:t>
      </w:r>
    </w:p>
    <w:p>
      <w:pPr>
        <w:pStyle w:val="BodyText"/>
      </w:pPr>
      <w:r>
        <w:t xml:space="preserve">This makes the separation of concerns explicit. The regression algorithm can be complex, but the integration contract is intentionally small. In this concrete example, the custom regressor uses</w:t>
      </w:r>
      <w:r>
        <w:t xml:space="preserve"> </w:t>
      </w:r>
      <w:r>
        <w:rPr>
          <w:rStyle w:val="VerbatimChar"/>
        </w:rPr>
        <w:t xml:space="preserve">RSNNS::mlp</w:t>
      </w:r>
      <w:r>
        <w:t xml:space="preserve"> </w:t>
      </w:r>
      <w:r>
        <w:t xml:space="preserve">with linear output.</w:t>
      </w:r>
    </w:p>
    <w:p>
      <w:pPr>
        <w:pStyle w:val="SourceCode"/>
      </w:pP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install.packages(c("daltoolbox", "RSNNS", "MASS"))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reg_rsnns_custom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(attribute,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learn_rate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regression</w:t>
      </w:r>
      <w:r>
        <w:rPr>
          <w:rStyle w:val="NormalTok"/>
        </w:rPr>
        <w:t xml:space="preserve">(attribute)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size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learn_rate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learn_rate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maxit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maxit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(obj)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"reg_rsnns_custom"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(obj))</w:t>
      </w:r>
      <w:r>
        <w:br/>
      </w:r>
      <w:r>
        <w:rPr>
          <w:rStyle w:val="NormalTok"/>
        </w:rPr>
        <w:t xml:space="preserve">  obj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fit.reg_rsnns_custom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(obj, data, ...)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"RSNNS"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"This example requires the 'RSNNS' package."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adjust_data.frame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(data),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attribute)</w:t>
      </w:r>
      <w:r>
        <w:br/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(data[,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(data[,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attribute,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RSNNS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mlp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learnFuncParams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learn_rate),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maxit,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linOut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obj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predict.reg_rsnns_custom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(object, x, ...)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adjust_data.frame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(x[, object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(object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model, x))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Boston)</w:t>
      </w:r>
      <w:r>
        <w:br/>
      </w:r>
      <w:r>
        <w:rPr>
          <w:rStyle w:val="NormalTok"/>
        </w:rPr>
        <w:t xml:space="preserve">boston_train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boston_test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reg_rsnns_custom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learn_rate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boston_train)</w:t>
      </w:r>
      <w:r>
        <w:br/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boston_train[,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mse     smape         R2</w:t>
      </w:r>
      <w:r>
        <w:br/>
      </w:r>
      <w:r>
        <w:rPr>
          <w:rStyle w:val="VerbatimChar"/>
        </w:rPr>
        <w:t xml:space="preserve">## 1 108.643 0.3691343 -0.2070335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boston_test[,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smape         R2</w:t>
      </w:r>
      <w:r>
        <w:br/>
      </w:r>
      <w:r>
        <w:rPr>
          <w:rStyle w:val="VerbatimChar"/>
        </w:rPr>
        <w:t xml:space="preserve">## 1 95.48156 0.3782586 -0.5867202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Bergmeir, C., and Benitez, J. M. (2012). Neural Networks in R Using the Stuttgart Neural Network Simulator: RSNNS.</w:t>
      </w:r>
      <w:r>
        <w:t xml:space="preserve"> </w:t>
      </w:r>
      <w:r>
        <w:t xml:space="preserve">- Bishop, C. M. (1995). Neural Networks for Pattern Recognition.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2026-03-11T02:10:46Z</dcterms:created>
  <dcterms:modified xsi:type="dcterms:W3CDTF">2026-03-11T02:10:46Z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