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groups by minimizing within-cluster variance.</w:t>
      </w:r>
    </w:p>
    <w:p>
      <w:pPr>
        <w:pStyle w:val="BodyText"/>
      </w:pPr>
      <w:r>
        <w:t xml:space="preserve">Didactic goal: establish the standard clustering line of experiment used throughout this family. Later examples should be read as changes in the clustering method, not as changes in the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labels in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are not used during fitting; they only help interpret the partition afterward.</w:t>
      </w:r>
      <w:r>
        <w:t xml:space="preserve"> </w:t>
      </w:r>
      <w:r>
        <w:t xml:space="preserve">- This is the reference clustering workflow used by the other examples in this family.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2026-05-13T17:30:42Z</dcterms:created>
  <dcterms:modified xsi:type="dcterms:W3CDTF">2026-05-13T17:30:42Z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