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d6b78f693cdbb6416e98463dfb37a866b3143c"/>
    <w:p>
      <w:pPr>
        <w:pStyle w:val="Heading2"/>
      </w:pPr>
      <w:r>
        <w:t xml:space="preserve">Tutorial 30 -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utorial/doc/30-visual-analysis-and-reporting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plot supports interpretation before model choice, not only after modeling.</w:t>
      </w:r>
      <w:r>
        <w:t xml:space="preserve"> </w:t>
      </w:r>
      <w:r>
        <w:t xml:space="preserve">- The compact report table makes different learners easier to compare in a reproducible way.</w:t>
      </w:r>
      <w:r>
        <w:t xml:space="preserve"> </w:t>
      </w:r>
      <w:r>
        <w:t xml:space="preserve">- Visualization and reporting are part of the experiment design, not only presentation after the fact.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2026-05-13T17:32:05Z</dcterms:created>
  <dcterms:modified xsi:type="dcterms:W3CDTF">2026-05-13T17:32:05Z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