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cla_majority</w:t>
      </w:r>
      <w:r>
        <w:t xml:space="preserve">: baseline classifier that always predicts the most frequent class observed during training. Useful as a minimum performance reference.</w:t>
      </w:r>
    </w:p>
    <w:p>
      <w:pPr>
        <w:pStyle w:val="BodyText"/>
      </w:pPr>
      <w:r>
        <w:t xml:space="preserve">Didactic goal: establish the standard classification line of experiment used throughout this family of examples. Later files should be read as variations of this same workflow.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cla_majority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       f1</w:t>
      </w:r>
      <w:r>
        <w:br/>
      </w:r>
      <w:r>
        <w:rPr>
          <w:rStyle w:val="VerbatimChar"/>
        </w:rPr>
        <w:t xml:space="preserve">## 1 0.3416667 41  0 79  0 0.3416667      1           1           0 0.5093168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       f1</w:t>
      </w:r>
      <w:r>
        <w:br/>
      </w:r>
      <w:r>
        <w:rPr>
          <w:rStyle w:val="VerbatimChar"/>
        </w:rPr>
        <w:t xml:space="preserve">## 1      0.3  9  0 21  0       0.3      1           1           0 0.4615385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This learner defines the minimum bar that stronger classifiers should beat.</w:t>
      </w:r>
      <w:r>
        <w:t xml:space="preserve"> </w:t>
      </w:r>
      <w:r>
        <w:t xml:space="preserve">- The line of experiment already contains everything needed for the later classification examples.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Witten, I. H., Frank, E., Hall, M. A., and Pal, C. J. (2016). Data Mining: Practical Machine Learning Tools and Techniques (4th ed.).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2026-05-14T00:54:32Z</dcterms:created>
  <dcterms:modified xsi:type="dcterms:W3CDTF">2026-05-14T00:54:32Z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